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356" w:type="dxa"/>
        <w:jc w:val="left"/>
        <w:tblInd w:w="109" w:type="dxa"/>
        <w:tblBorders/>
        <w:tblCellMar>
          <w:top w:w="0" w:type="dxa"/>
          <w:left w:w="108" w:type="dxa"/>
          <w:bottom w:w="0" w:type="dxa"/>
          <w:right w:w="108" w:type="dxa"/>
        </w:tblCellMar>
        <w:tblLook w:firstRow="1" w:noVBand="1" w:lastRow="0" w:firstColumn="1" w:lastColumn="0" w:noHBand="0" w:val="04a0"/>
      </w:tblPr>
      <w:tblGrid>
        <w:gridCol w:w="9091"/>
        <w:gridCol w:w="264"/>
      </w:tblGrid>
      <w:tr>
        <w:trPr/>
        <w:tc>
          <w:tcPr>
            <w:tcW w:w="9355" w:type="dxa"/>
            <w:gridSpan w:val="2"/>
            <w:tcBorders/>
            <w:shd w:fill="auto" w:val="clear"/>
          </w:tcPr>
          <w:p>
            <w:pPr>
              <w:pStyle w:val="Normal"/>
              <w:ind w:right="-18" w:firstLine="720"/>
              <w:rPr>
                <w:sz w:val="24"/>
                <w:szCs w:val="24"/>
                <w:lang w:val="ru-RU"/>
              </w:rPr>
            </w:pPr>
            <w:r>
              <w:rPr>
                <w:sz w:val="24"/>
                <w:szCs w:val="24"/>
              </w:rPr>
              <w:t xml:space="preserve">На основу чл. 4. и </w:t>
            </w:r>
            <w:r>
              <w:rPr>
                <w:sz w:val="24"/>
                <w:szCs w:val="24"/>
                <w:lang w:val="sr-RS"/>
              </w:rPr>
              <w:t xml:space="preserve">133. Закона о запосленима у аутономним покрајинама и јединицама локалне самоуправе </w:t>
            </w:r>
            <w:r>
              <w:rPr>
                <w:sz w:val="24"/>
                <w:szCs w:val="24"/>
                <w:lang w:val="ru-RU"/>
              </w:rPr>
              <w:t xml:space="preserve">(„Службени гласник РС“ бр. 21/2016) и члана 3. став 3 и члана 35. Уредбе о оцењивању службеника („Службени гласник РС“, број 2/2019), </w:t>
            </w:r>
            <w:r>
              <w:rPr>
                <w:sz w:val="24"/>
                <w:szCs w:val="24"/>
                <w:lang w:val="sr-Latn-RS"/>
              </w:rPr>
              <w:t>___________________________</w:t>
            </w:r>
            <w:r>
              <w:rPr>
                <w:sz w:val="24"/>
                <w:szCs w:val="24"/>
                <w:lang w:val="ru-RU"/>
              </w:rPr>
              <w:t xml:space="preserve"> доноси</w:t>
            </w:r>
          </w:p>
        </w:tc>
      </w:tr>
      <w:tr>
        <w:trPr/>
        <w:tc>
          <w:tcPr>
            <w:tcW w:w="9091" w:type="dxa"/>
            <w:tcBorders/>
            <w:shd w:fill="auto" w:val="clear"/>
          </w:tcPr>
          <w:p>
            <w:pPr>
              <w:pStyle w:val="Normal"/>
              <w:rPr>
                <w:sz w:val="24"/>
                <w:szCs w:val="24"/>
                <w:lang w:val="ru-RU"/>
              </w:rPr>
            </w:pPr>
            <w:r>
              <w:rPr>
                <w:sz w:val="24"/>
                <w:szCs w:val="24"/>
                <w:lang w:val="ru-RU"/>
              </w:rPr>
            </w:r>
          </w:p>
        </w:tc>
        <w:tc>
          <w:tcPr>
            <w:tcW w:w="264" w:type="dxa"/>
            <w:tcBorders/>
            <w:shd w:fill="auto" w:val="clear"/>
          </w:tcPr>
          <w:p>
            <w:pPr>
              <w:pStyle w:val="Normal"/>
              <w:rPr/>
            </w:pPr>
            <w:r>
              <w:rPr/>
            </w:r>
          </w:p>
        </w:tc>
      </w:tr>
      <w:tr>
        <w:trPr>
          <w:trHeight w:val="477" w:hRule="atLeast"/>
        </w:trPr>
        <w:tc>
          <w:tcPr>
            <w:tcW w:w="9091" w:type="dxa"/>
            <w:tcBorders/>
            <w:shd w:fill="auto" w:val="clear"/>
          </w:tcPr>
          <w:p>
            <w:pPr>
              <w:pStyle w:val="Normal"/>
              <w:jc w:val="center"/>
              <w:rPr>
                <w:b/>
                <w:b/>
                <w:sz w:val="24"/>
                <w:szCs w:val="24"/>
                <w:lang w:val="ru-RU"/>
              </w:rPr>
            </w:pPr>
            <w:r>
              <w:rPr>
                <w:b/>
                <w:sz w:val="24"/>
                <w:szCs w:val="24"/>
                <w:lang w:val="ru-RU"/>
              </w:rPr>
              <w:t>Р Е Ш Е Њ Е</w:t>
            </w:r>
          </w:p>
          <w:p>
            <w:pPr>
              <w:pStyle w:val="Normal"/>
              <w:rPr>
                <w:sz w:val="24"/>
                <w:szCs w:val="24"/>
              </w:rPr>
            </w:pPr>
            <w:r>
              <w:rPr>
                <w:sz w:val="24"/>
                <w:szCs w:val="24"/>
              </w:rPr>
            </w:r>
          </w:p>
        </w:tc>
        <w:tc>
          <w:tcPr>
            <w:tcW w:w="264" w:type="dxa"/>
            <w:tcBorders/>
            <w:shd w:fill="auto" w:val="clear"/>
          </w:tcPr>
          <w:p>
            <w:pPr>
              <w:pStyle w:val="Normal"/>
              <w:rPr/>
            </w:pPr>
            <w:r>
              <w:rPr/>
            </w:r>
          </w:p>
        </w:tc>
      </w:tr>
      <w:tr>
        <w:trPr>
          <w:trHeight w:val="80" w:hRule="atLeast"/>
        </w:trPr>
        <w:tc>
          <w:tcPr>
            <w:tcW w:w="9091" w:type="dxa"/>
            <w:tcBorders/>
            <w:shd w:fill="auto" w:val="clear"/>
          </w:tcPr>
          <w:p>
            <w:pPr>
              <w:pStyle w:val="Normal"/>
              <w:rPr>
                <w:sz w:val="24"/>
                <w:szCs w:val="24"/>
              </w:rPr>
            </w:pPr>
            <w:r>
              <w:rPr>
                <w:sz w:val="24"/>
                <w:szCs w:val="24"/>
              </w:rPr>
            </w:r>
          </w:p>
        </w:tc>
        <w:tc>
          <w:tcPr>
            <w:tcW w:w="264" w:type="dxa"/>
            <w:tcBorders/>
            <w:shd w:fill="auto" w:val="clear"/>
          </w:tcPr>
          <w:p>
            <w:pPr>
              <w:pStyle w:val="Normal"/>
              <w:rPr/>
            </w:pPr>
            <w:r>
              <w:rPr/>
            </w:r>
          </w:p>
        </w:tc>
      </w:tr>
    </w:tbl>
    <w:p>
      <w:pPr>
        <w:pStyle w:val="Normal"/>
        <w:rPr>
          <w:vanish/>
        </w:rPr>
      </w:pPr>
      <w:r>
        <w:rPr>
          <w:vanish/>
        </w:rPr>
      </w:r>
    </w:p>
    <w:p>
      <w:pPr>
        <w:pStyle w:val="Normal"/>
        <w:rPr>
          <w:sz w:val="24"/>
          <w:szCs w:val="24"/>
          <w:lang w:val="sr-RS"/>
        </w:rPr>
      </w:pPr>
      <w:r>
        <mc:AlternateContent>
          <mc:Choice Requires="wps">
            <w:drawing>
              <wp:anchor behindDoc="0" distT="0" distB="0" distL="114300" distR="114300" simplePos="0" locked="0" layoutInCell="1" allowOverlap="1" relativeHeight="2">
                <wp:simplePos x="0" y="0"/>
                <wp:positionH relativeFrom="margin">
                  <wp:posOffset>-68580</wp:posOffset>
                </wp:positionH>
                <wp:positionV relativeFrom="paragraph">
                  <wp:posOffset>-2535555</wp:posOffset>
                </wp:positionV>
                <wp:extent cx="2949575" cy="2917825"/>
                <wp:effectExtent l="0" t="0" r="0" b="0"/>
                <wp:wrapSquare wrapText="bothSides"/>
                <wp:docPr id="1" name="Frame1"/>
                <a:graphic xmlns:a="http://schemas.openxmlformats.org/drawingml/2006/main">
                  <a:graphicData uri="http://schemas.microsoft.com/office/word/2010/wordprocessingShape">
                    <wps:wsp>
                      <wps:cNvSpPr/>
                      <wps:spPr>
                        <a:xfrm>
                          <a:off x="0" y="0"/>
                          <a:ext cx="2949120" cy="2917080"/>
                        </a:xfrm>
                        <a:prstGeom prst="rect">
                          <a:avLst/>
                        </a:prstGeom>
                        <a:noFill/>
                        <a:ln>
                          <a:noFill/>
                        </a:ln>
                      </wps:spPr>
                      <wps:style>
                        <a:lnRef idx="0"/>
                        <a:fillRef idx="0"/>
                        <a:effectRef idx="0"/>
                        <a:fontRef idx="minor"/>
                      </wps:style>
                      <wps:txbx>
                        <w:txbxContent>
                          <w:tbl>
                            <w:tblPr>
                              <w:tblW w:w="4644" w:type="dxa"/>
                              <w:jc w:val="left"/>
                              <w:tblInd w:w="108" w:type="dxa"/>
                              <w:tblBorders/>
                              <w:tblCellMar>
                                <w:top w:w="0" w:type="dxa"/>
                                <w:left w:w="108" w:type="dxa"/>
                                <w:bottom w:w="0" w:type="dxa"/>
                                <w:right w:w="108" w:type="dxa"/>
                              </w:tblCellMar>
                              <w:tblLook w:firstRow="1" w:noVBand="0" w:lastRow="0" w:firstColumn="1" w:lastColumn="0" w:noHBand="0" w:val="00a0"/>
                            </w:tblPr>
                            <w:tblGrid>
                              <w:gridCol w:w="108"/>
                              <w:gridCol w:w="4535"/>
                            </w:tblGrid>
                            <w:tr>
                              <w:trPr>
                                <w:trHeight w:val="2157" w:hRule="atLeast"/>
                              </w:trPr>
                              <w:tc>
                                <w:tcPr>
                                  <w:tcW w:w="108" w:type="dxa"/>
                                  <w:tcBorders/>
                                  <w:shd w:fill="auto" w:val="clear"/>
                                </w:tcPr>
                                <w:p>
                                  <w:pPr>
                                    <w:pStyle w:val="Normal"/>
                                    <w:rPr>
                                      <w:vanish/>
                                      <w:color w:val="auto"/>
                                    </w:rPr>
                                  </w:pPr>
                                  <w:r>
                                    <w:rPr>
                                      <w:vanish/>
                                      <w:color w:val="auto"/>
                                    </w:rPr>
                                  </w:r>
                                </w:p>
                              </w:tc>
                              <w:tc>
                                <w:tcPr>
                                  <w:tcW w:w="4535" w:type="dxa"/>
                                  <w:tcBorders/>
                                  <w:shd w:fill="auto" w:val="clear"/>
                                </w:tcPr>
                                <w:p>
                                  <w:pPr>
                                    <w:pStyle w:val="Normal"/>
                                    <w:jc w:val="center"/>
                                    <w:rPr>
                                      <w:color w:val="auto"/>
                                      <w:sz w:val="24"/>
                                      <w:szCs w:val="24"/>
                                    </w:rPr>
                                  </w:pPr>
                                  <w:r>
                                    <w:rPr>
                                      <w:color w:val="auto"/>
                                      <w:sz w:val="24"/>
                                      <w:szCs w:val="24"/>
                                    </w:rPr>
                                  </w:r>
                                </w:p>
                                <w:p>
                                  <w:pPr>
                                    <w:pStyle w:val="Normal"/>
                                    <w:rPr>
                                      <w:color w:val="auto"/>
                                      <w:sz w:val="24"/>
                                      <w:szCs w:val="24"/>
                                    </w:rPr>
                                  </w:pPr>
                                  <w:r>
                                    <w:rPr>
                                      <w:color w:val="auto"/>
                                      <w:sz w:val="24"/>
                                      <w:szCs w:val="24"/>
                                    </w:rPr>
                                  </w:r>
                                </w:p>
                              </w:tc>
                            </w:tr>
                            <w:tr>
                              <w:trPr>
                                <w:trHeight w:val="80" w:hRule="atLeast"/>
                              </w:trPr>
                              <w:tc>
                                <w:tcPr>
                                  <w:tcW w:w="4643" w:type="dxa"/>
                                  <w:gridSpan w:val="2"/>
                                  <w:tcBorders/>
                                  <w:shd w:fill="auto" w:val="clear"/>
                                </w:tcPr>
                                <w:p>
                                  <w:pPr>
                                    <w:pStyle w:val="Normal"/>
                                    <w:rPr>
                                      <w:color w:val="auto"/>
                                    </w:rPr>
                                  </w:pPr>
                                  <w:r>
                                    <w:rPr>
                                      <w:color w:val="auto"/>
                                      <w:sz w:val="24"/>
                                      <w:szCs w:val="24"/>
                                      <w:u w:val="single"/>
                                      <w:lang w:val="sr-RS"/>
                                    </w:rPr>
                                    <w:t>ПОВЕРЉИВО</w:t>
                                  </w:r>
                                </w:p>
                                <w:p>
                                  <w:pPr>
                                    <w:pStyle w:val="Normal"/>
                                    <w:jc w:val="right"/>
                                    <w:rPr>
                                      <w:color w:val="auto"/>
                                      <w:sz w:val="24"/>
                                      <w:szCs w:val="24"/>
                                      <w:lang w:val="sr-RS"/>
                                    </w:rPr>
                                  </w:pPr>
                                  <w:r>
                                    <w:rPr>
                                      <w:color w:val="auto"/>
                                      <w:sz w:val="24"/>
                                      <w:szCs w:val="24"/>
                                      <w:lang w:val="sr-RS"/>
                                    </w:rPr>
                                  </w:r>
                                </w:p>
                                <w:p>
                                  <w:pPr>
                                    <w:pStyle w:val="Normal"/>
                                    <w:rPr>
                                      <w:color w:val="auto"/>
                                    </w:rPr>
                                  </w:pPr>
                                  <w:r>
                                    <w:rPr>
                                      <w:color w:val="auto"/>
                                      <w:sz w:val="24"/>
                                      <w:szCs w:val="24"/>
                                      <w:lang w:val="sr-RS"/>
                                    </w:rPr>
                                    <w:t xml:space="preserve">Република Србија                                                                          </w:t>
                                  </w:r>
                                </w:p>
                              </w:tc>
                            </w:tr>
                            <w:tr>
                              <w:trPr>
                                <w:trHeight w:val="405" w:hRule="atLeast"/>
                                <w:cantSplit w:val="true"/>
                              </w:trPr>
                              <w:tc>
                                <w:tcPr>
                                  <w:tcW w:w="4643" w:type="dxa"/>
                                  <w:gridSpan w:val="2"/>
                                  <w:tcBorders/>
                                  <w:shd w:fill="auto" w:val="clear"/>
                                </w:tcPr>
                                <w:p>
                                  <w:pPr>
                                    <w:pStyle w:val="Normal"/>
                                    <w:rPr>
                                      <w:color w:val="auto"/>
                                    </w:rPr>
                                  </w:pPr>
                                  <w:r>
                                    <w:rPr>
                                      <w:color w:val="auto"/>
                                      <w:sz w:val="24"/>
                                      <w:szCs w:val="24"/>
                                      <w:lang w:val="sr-RS"/>
                                    </w:rPr>
                                    <w:t>Општина / Град / Градска општина _______________</w:t>
                                  </w:r>
                                </w:p>
                              </w:tc>
                            </w:tr>
                            <w:tr>
                              <w:trPr/>
                              <w:tc>
                                <w:tcPr>
                                  <w:tcW w:w="4643" w:type="dxa"/>
                                  <w:gridSpan w:val="2"/>
                                  <w:tcBorders/>
                                  <w:shd w:fill="auto" w:val="clear"/>
                                </w:tcPr>
                                <w:p>
                                  <w:pPr>
                                    <w:pStyle w:val="Normal"/>
                                    <w:rPr>
                                      <w:color w:val="auto"/>
                                    </w:rPr>
                                  </w:pPr>
                                  <w:bookmarkStart w:id="0" w:name="__UnoMark__1993_603447630"/>
                                  <w:bookmarkEnd w:id="0"/>
                                  <w:r>
                                    <w:rPr>
                                      <w:color w:val="auto"/>
                                      <w:sz w:val="24"/>
                                      <w:szCs w:val="24"/>
                                      <w:lang w:val="sr-RS"/>
                                    </w:rPr>
                                    <w:t>Број __________________</w:t>
                                  </w:r>
                                </w:p>
                                <w:p>
                                  <w:pPr>
                                    <w:pStyle w:val="Normal"/>
                                    <w:rPr>
                                      <w:color w:val="auto"/>
                                      <w:sz w:val="24"/>
                                      <w:szCs w:val="24"/>
                                      <w:lang w:val="sr-RS"/>
                                    </w:rPr>
                                  </w:pPr>
                                  <w:r>
                                    <w:rPr>
                                      <w:color w:val="auto"/>
                                      <w:sz w:val="24"/>
                                      <w:szCs w:val="24"/>
                                      <w:lang w:val="sr-RS"/>
                                    </w:rPr>
                                  </w:r>
                                </w:p>
                                <w:p>
                                  <w:pPr>
                                    <w:pStyle w:val="Normal"/>
                                    <w:rPr>
                                      <w:color w:val="auto"/>
                                      <w:sz w:val="24"/>
                                      <w:szCs w:val="24"/>
                                      <w:lang w:val="sr-RS"/>
                                    </w:rPr>
                                  </w:pPr>
                                  <w:r>
                                    <w:rPr>
                                      <w:color w:val="auto"/>
                                      <w:sz w:val="24"/>
                                      <w:szCs w:val="24"/>
                                      <w:lang w:val="sr-RS"/>
                                    </w:rPr>
                                  </w:r>
                                </w:p>
                              </w:tc>
                            </w:tr>
                          </w:tbl>
                          <w:p>
                            <w:pPr>
                              <w:pStyle w:val="FrameContents"/>
                              <w:rPr>
                                <w:color w:val="auto"/>
                              </w:rPr>
                            </w:pPr>
                            <w:r>
                              <w:rPr>
                                <w:color w:val="auto"/>
                              </w:rPr>
                            </w:r>
                          </w:p>
                        </w:txbxContent>
                      </wps:txbx>
                      <wps:bodyPr lIns="0" rIns="0" tIns="0" bIns="0">
                        <a:spAutoFit/>
                      </wps:bodyPr>
                    </wps:wsp>
                  </a:graphicData>
                </a:graphic>
              </wp:anchor>
            </w:drawing>
          </mc:Choice>
          <mc:Fallback>
            <w:pict>
              <v:rect id="shape_0" ID="Frame1" stroked="f" style="position:absolute;margin-left:-5.4pt;margin-top:-199.65pt;width:232.15pt;height:229.65pt;mso-position-horizontal-relative:margin">
                <w10:wrap type="none"/>
                <v:fill o:detectmouseclick="t" on="false"/>
                <v:stroke color="#3465a4" joinstyle="round" endcap="flat"/>
                <v:textbox>
                  <w:txbxContent>
                    <w:tbl>
                      <w:tblPr>
                        <w:tblW w:w="4644" w:type="dxa"/>
                        <w:jc w:val="left"/>
                        <w:tblInd w:w="108" w:type="dxa"/>
                        <w:tblBorders/>
                        <w:tblCellMar>
                          <w:top w:w="0" w:type="dxa"/>
                          <w:left w:w="108" w:type="dxa"/>
                          <w:bottom w:w="0" w:type="dxa"/>
                          <w:right w:w="108" w:type="dxa"/>
                        </w:tblCellMar>
                        <w:tblLook w:firstRow="1" w:noVBand="0" w:lastRow="0" w:firstColumn="1" w:lastColumn="0" w:noHBand="0" w:val="00a0"/>
                      </w:tblPr>
                      <w:tblGrid>
                        <w:gridCol w:w="108"/>
                        <w:gridCol w:w="4535"/>
                      </w:tblGrid>
                      <w:tr>
                        <w:trPr>
                          <w:trHeight w:val="2157" w:hRule="atLeast"/>
                        </w:trPr>
                        <w:tc>
                          <w:tcPr>
                            <w:tcW w:w="108" w:type="dxa"/>
                            <w:tcBorders/>
                            <w:shd w:fill="auto" w:val="clear"/>
                          </w:tcPr>
                          <w:p>
                            <w:pPr>
                              <w:pStyle w:val="Normal"/>
                              <w:rPr>
                                <w:vanish/>
                                <w:color w:val="auto"/>
                              </w:rPr>
                            </w:pPr>
                            <w:r>
                              <w:rPr>
                                <w:vanish/>
                                <w:color w:val="auto"/>
                              </w:rPr>
                            </w:r>
                          </w:p>
                        </w:tc>
                        <w:tc>
                          <w:tcPr>
                            <w:tcW w:w="4535" w:type="dxa"/>
                            <w:tcBorders/>
                            <w:shd w:fill="auto" w:val="clear"/>
                          </w:tcPr>
                          <w:p>
                            <w:pPr>
                              <w:pStyle w:val="Normal"/>
                              <w:jc w:val="center"/>
                              <w:rPr>
                                <w:color w:val="auto"/>
                                <w:sz w:val="24"/>
                                <w:szCs w:val="24"/>
                              </w:rPr>
                            </w:pPr>
                            <w:r>
                              <w:rPr>
                                <w:color w:val="auto"/>
                                <w:sz w:val="24"/>
                                <w:szCs w:val="24"/>
                              </w:rPr>
                            </w:r>
                          </w:p>
                          <w:p>
                            <w:pPr>
                              <w:pStyle w:val="Normal"/>
                              <w:rPr>
                                <w:color w:val="auto"/>
                                <w:sz w:val="24"/>
                                <w:szCs w:val="24"/>
                              </w:rPr>
                            </w:pPr>
                            <w:r>
                              <w:rPr>
                                <w:color w:val="auto"/>
                                <w:sz w:val="24"/>
                                <w:szCs w:val="24"/>
                              </w:rPr>
                            </w:r>
                          </w:p>
                        </w:tc>
                      </w:tr>
                      <w:tr>
                        <w:trPr>
                          <w:trHeight w:val="80" w:hRule="atLeast"/>
                        </w:trPr>
                        <w:tc>
                          <w:tcPr>
                            <w:tcW w:w="4643" w:type="dxa"/>
                            <w:gridSpan w:val="2"/>
                            <w:tcBorders/>
                            <w:shd w:fill="auto" w:val="clear"/>
                          </w:tcPr>
                          <w:p>
                            <w:pPr>
                              <w:pStyle w:val="Normal"/>
                              <w:rPr>
                                <w:color w:val="auto"/>
                              </w:rPr>
                            </w:pPr>
                            <w:r>
                              <w:rPr>
                                <w:color w:val="auto"/>
                                <w:sz w:val="24"/>
                                <w:szCs w:val="24"/>
                                <w:u w:val="single"/>
                                <w:lang w:val="sr-RS"/>
                              </w:rPr>
                              <w:t>ПОВЕРЉИВО</w:t>
                            </w:r>
                          </w:p>
                          <w:p>
                            <w:pPr>
                              <w:pStyle w:val="Normal"/>
                              <w:jc w:val="right"/>
                              <w:rPr>
                                <w:color w:val="auto"/>
                                <w:sz w:val="24"/>
                                <w:szCs w:val="24"/>
                                <w:lang w:val="sr-RS"/>
                              </w:rPr>
                            </w:pPr>
                            <w:r>
                              <w:rPr>
                                <w:color w:val="auto"/>
                                <w:sz w:val="24"/>
                                <w:szCs w:val="24"/>
                                <w:lang w:val="sr-RS"/>
                              </w:rPr>
                            </w:r>
                          </w:p>
                          <w:p>
                            <w:pPr>
                              <w:pStyle w:val="Normal"/>
                              <w:rPr>
                                <w:color w:val="auto"/>
                              </w:rPr>
                            </w:pPr>
                            <w:r>
                              <w:rPr>
                                <w:color w:val="auto"/>
                                <w:sz w:val="24"/>
                                <w:szCs w:val="24"/>
                                <w:lang w:val="sr-RS"/>
                              </w:rPr>
                              <w:t xml:space="preserve">Република Србија                                                                          </w:t>
                            </w:r>
                          </w:p>
                        </w:tc>
                      </w:tr>
                      <w:tr>
                        <w:trPr>
                          <w:trHeight w:val="405" w:hRule="atLeast"/>
                          <w:cantSplit w:val="true"/>
                        </w:trPr>
                        <w:tc>
                          <w:tcPr>
                            <w:tcW w:w="4643" w:type="dxa"/>
                            <w:gridSpan w:val="2"/>
                            <w:tcBorders/>
                            <w:shd w:fill="auto" w:val="clear"/>
                          </w:tcPr>
                          <w:p>
                            <w:pPr>
                              <w:pStyle w:val="Normal"/>
                              <w:rPr>
                                <w:color w:val="auto"/>
                              </w:rPr>
                            </w:pPr>
                            <w:r>
                              <w:rPr>
                                <w:color w:val="auto"/>
                                <w:sz w:val="24"/>
                                <w:szCs w:val="24"/>
                                <w:lang w:val="sr-RS"/>
                              </w:rPr>
                              <w:t>Општина / Град / Градска општина _______________</w:t>
                            </w:r>
                          </w:p>
                        </w:tc>
                      </w:tr>
                      <w:tr>
                        <w:trPr/>
                        <w:tc>
                          <w:tcPr>
                            <w:tcW w:w="4643" w:type="dxa"/>
                            <w:gridSpan w:val="2"/>
                            <w:tcBorders/>
                            <w:shd w:fill="auto" w:val="clear"/>
                          </w:tcPr>
                          <w:p>
                            <w:pPr>
                              <w:pStyle w:val="Normal"/>
                              <w:rPr>
                                <w:color w:val="auto"/>
                              </w:rPr>
                            </w:pPr>
                            <w:bookmarkStart w:id="1" w:name="__UnoMark__1993_603447630"/>
                            <w:bookmarkEnd w:id="1"/>
                            <w:r>
                              <w:rPr>
                                <w:color w:val="auto"/>
                                <w:sz w:val="24"/>
                                <w:szCs w:val="24"/>
                                <w:lang w:val="sr-RS"/>
                              </w:rPr>
                              <w:t>Број __________________</w:t>
                            </w:r>
                          </w:p>
                          <w:p>
                            <w:pPr>
                              <w:pStyle w:val="Normal"/>
                              <w:rPr>
                                <w:color w:val="auto"/>
                                <w:sz w:val="24"/>
                                <w:szCs w:val="24"/>
                                <w:lang w:val="sr-RS"/>
                              </w:rPr>
                            </w:pPr>
                            <w:r>
                              <w:rPr>
                                <w:color w:val="auto"/>
                                <w:sz w:val="24"/>
                                <w:szCs w:val="24"/>
                                <w:lang w:val="sr-RS"/>
                              </w:rPr>
                            </w:r>
                          </w:p>
                          <w:p>
                            <w:pPr>
                              <w:pStyle w:val="Normal"/>
                              <w:rPr>
                                <w:color w:val="auto"/>
                                <w:sz w:val="24"/>
                                <w:szCs w:val="24"/>
                                <w:lang w:val="sr-RS"/>
                              </w:rPr>
                            </w:pPr>
                            <w:r>
                              <w:rPr>
                                <w:color w:val="auto"/>
                                <w:sz w:val="24"/>
                                <w:szCs w:val="24"/>
                                <w:lang w:val="sr-RS"/>
                              </w:rPr>
                            </w:r>
                          </w:p>
                        </w:tc>
                      </w:tr>
                    </w:tbl>
                    <w:p>
                      <w:pPr>
                        <w:pStyle w:val="FrameContents"/>
                        <w:rPr>
                          <w:color w:val="auto"/>
                        </w:rPr>
                      </w:pPr>
                      <w:r>
                        <w:rPr>
                          <w:color w:val="auto"/>
                        </w:rPr>
                      </w:r>
                    </w:p>
                  </w:txbxContent>
                </v:textbox>
              </v:rect>
            </w:pict>
          </mc:Fallback>
        </mc:AlternateContent>
      </w:r>
      <w:r>
        <w:rPr>
          <w:sz w:val="24"/>
          <w:szCs w:val="24"/>
          <w:lang w:val="ru-RU"/>
        </w:rPr>
        <w:tab/>
      </w:r>
      <w:r>
        <w:rPr>
          <w:b/>
          <w:sz w:val="24"/>
          <w:szCs w:val="24"/>
          <w:lang w:val="ru-RU"/>
        </w:rPr>
        <w:t xml:space="preserve">______________________________, </w:t>
      </w:r>
      <w:r>
        <w:rPr>
          <w:sz w:val="24"/>
          <w:szCs w:val="24"/>
          <w:lang w:val="sr-RS"/>
        </w:rPr>
        <w:t>начелнику/заменику начелника/службенику</w:t>
      </w:r>
      <w:r>
        <w:rPr>
          <w:sz w:val="24"/>
          <w:szCs w:val="24"/>
          <w:lang w:val="ru-RU"/>
        </w:rPr>
        <w:t xml:space="preserve"> у ___________________________________________, распоређеном на </w:t>
      </w:r>
      <w:r>
        <w:rPr>
          <w:sz w:val="24"/>
          <w:szCs w:val="24"/>
          <w:lang w:val="sr-RS"/>
        </w:rPr>
        <w:t xml:space="preserve">радно место, _____________________________________________, </w:t>
      </w:r>
      <w:r>
        <w:rPr>
          <w:sz w:val="24"/>
          <w:szCs w:val="24"/>
          <w:lang w:val="ru-RU"/>
        </w:rPr>
        <w:t xml:space="preserve">које је разврстано у звању __________________, за период оцењивања од 01. јануара до 31. децембра __________.године, одређује се оцена: </w:t>
      </w:r>
    </w:p>
    <w:p>
      <w:pPr>
        <w:pStyle w:val="Normal"/>
        <w:rPr>
          <w:sz w:val="24"/>
          <w:szCs w:val="24"/>
          <w:lang w:val="ru-RU"/>
        </w:rPr>
      </w:pPr>
      <w:r>
        <w:rPr>
          <w:sz w:val="24"/>
          <w:szCs w:val="24"/>
          <w:lang w:val="ru-RU"/>
        </w:rPr>
      </w:r>
    </w:p>
    <w:p>
      <w:pPr>
        <w:pStyle w:val="Normal"/>
        <w:jc w:val="center"/>
        <w:rPr>
          <w:b/>
          <w:b/>
          <w:sz w:val="24"/>
          <w:szCs w:val="24"/>
          <w:lang w:val="ru-RU"/>
        </w:rPr>
      </w:pPr>
      <w:r>
        <w:rPr>
          <w:b/>
          <w:sz w:val="24"/>
          <w:szCs w:val="24"/>
          <w:lang w:val="ru-RU"/>
        </w:rPr>
        <w:t xml:space="preserve">“ </w:t>
      </w:r>
      <w:r>
        <w:rPr>
          <w:b/>
          <w:sz w:val="24"/>
          <w:szCs w:val="24"/>
          <w:lang w:val="ru-RU"/>
        </w:rPr>
        <w:t>______________“– (0,00)</w:t>
      </w:r>
    </w:p>
    <w:p>
      <w:pPr>
        <w:pStyle w:val="Normal"/>
        <w:jc w:val="center"/>
        <w:rPr>
          <w:b/>
          <w:b/>
          <w:sz w:val="24"/>
          <w:szCs w:val="24"/>
          <w:lang w:val="ru-RU"/>
        </w:rPr>
      </w:pPr>
      <w:r>
        <w:rPr>
          <w:b/>
          <w:sz w:val="24"/>
          <w:szCs w:val="24"/>
          <w:lang w:val="ru-RU"/>
        </w:rPr>
      </w:r>
    </w:p>
    <w:p>
      <w:pPr>
        <w:pStyle w:val="Normal"/>
        <w:jc w:val="center"/>
        <w:rPr>
          <w:b/>
          <w:b/>
          <w:sz w:val="24"/>
          <w:szCs w:val="24"/>
          <w:lang w:val="ru-RU"/>
        </w:rPr>
      </w:pPr>
      <w:r>
        <w:rPr>
          <w:b/>
          <w:sz w:val="24"/>
          <w:szCs w:val="24"/>
          <w:lang w:val="ru-RU"/>
        </w:rPr>
        <w:t>О б р а з л о ж е њ е</w:t>
      </w:r>
    </w:p>
    <w:p>
      <w:pPr>
        <w:pStyle w:val="Normal"/>
        <w:tabs>
          <w:tab w:val="left" w:pos="765" w:leader="none"/>
        </w:tabs>
        <w:rPr>
          <w:sz w:val="24"/>
          <w:szCs w:val="24"/>
          <w:lang w:val="sr-RS"/>
        </w:rPr>
      </w:pPr>
      <w:r>
        <w:rPr>
          <w:sz w:val="24"/>
          <w:szCs w:val="24"/>
          <w:lang w:val="ru-RU"/>
        </w:rPr>
        <w:tab/>
      </w:r>
    </w:p>
    <w:p>
      <w:pPr>
        <w:pStyle w:val="Normal"/>
        <w:shd w:val="clear" w:color="auto" w:fill="FFFFFF"/>
        <w:spacing w:before="48" w:after="48"/>
        <w:ind w:firstLine="720"/>
        <w:rPr>
          <w:color w:val="000000"/>
          <w:lang w:val="sr-Latn-RS"/>
        </w:rPr>
      </w:pPr>
      <w:r>
        <w:rPr>
          <w:sz w:val="24"/>
          <w:szCs w:val="24"/>
          <w:lang w:val="sr-RS"/>
        </w:rPr>
        <w:t>Чланом 4. Закона о запосленима у аутономним покрајинама и јединицама локалне самоуправе (даље: Закон)  прописано је да</w:t>
      </w:r>
      <w:r>
        <w:rPr>
          <w:color w:val="000000"/>
          <w:sz w:val="24"/>
          <w:szCs w:val="24"/>
          <w:lang w:val="sr-RS"/>
        </w:rPr>
        <w:t xml:space="preserve"> за службенике и намештенике у јединицама локалне самоуправе, права и дужности у име послодавца, врши начелник градске или општинске управе ако је образована као јединствен орган, односно начелник управе за поједине области, или начелник управе градске општине, односно руководилац који руководи службом или организацијом</w:t>
      </w:r>
      <w:r>
        <w:rPr>
          <w:color w:val="000000"/>
          <w:lang w:val="sr-RS"/>
        </w:rPr>
        <w:t>.</w:t>
      </w:r>
    </w:p>
    <w:p>
      <w:pPr>
        <w:pStyle w:val="Normal1"/>
        <w:spacing w:beforeAutospacing="0" w:before="0" w:afterAutospacing="0" w:after="0"/>
        <w:ind w:firstLine="720"/>
        <w:jc w:val="both"/>
        <w:rPr>
          <w:color w:val="000000"/>
          <w:lang w:val="sr-Latn-RS"/>
        </w:rPr>
      </w:pPr>
      <w:r>
        <w:rPr>
          <w:lang w:val="sr-RS"/>
        </w:rPr>
        <w:t xml:space="preserve">Чланом 133. Закона пропсиано је да </w:t>
      </w:r>
      <w:r>
        <w:rPr>
          <w:color w:val="000000"/>
        </w:rPr>
        <w:t>службеника</w:t>
      </w:r>
      <w:r>
        <w:rPr>
          <w:color w:val="000000"/>
          <w:lang w:val="sr-Latn-RS"/>
        </w:rPr>
        <w:t xml:space="preserve"> </w:t>
      </w:r>
      <w:r>
        <w:rPr>
          <w:color w:val="000000"/>
        </w:rPr>
        <w:t>оцењује</w:t>
      </w:r>
      <w:r>
        <w:rPr>
          <w:color w:val="000000"/>
          <w:lang w:val="sr-Latn-RS"/>
        </w:rPr>
        <w:t xml:space="preserve"> </w:t>
      </w:r>
      <w:r>
        <w:rPr>
          <w:color w:val="000000"/>
        </w:rPr>
        <w:t>лице</w:t>
      </w:r>
      <w:r>
        <w:rPr>
          <w:color w:val="000000"/>
          <w:lang w:val="sr-Latn-RS"/>
        </w:rPr>
        <w:t xml:space="preserve"> </w:t>
      </w:r>
      <w:r>
        <w:rPr>
          <w:color w:val="000000"/>
        </w:rPr>
        <w:t>из</w:t>
      </w:r>
      <w:r>
        <w:rPr>
          <w:color w:val="000000"/>
          <w:lang w:val="sr-Latn-RS"/>
        </w:rPr>
        <w:t xml:space="preserve"> </w:t>
      </w:r>
      <w:r>
        <w:rPr>
          <w:color w:val="000000"/>
        </w:rPr>
        <w:t>члана</w:t>
      </w:r>
      <w:r>
        <w:rPr>
          <w:color w:val="000000"/>
          <w:lang w:val="sr-Latn-RS"/>
        </w:rPr>
        <w:t xml:space="preserve"> 4. </w:t>
      </w:r>
      <w:r>
        <w:rPr>
          <w:color w:val="000000"/>
        </w:rPr>
        <w:t>овог</w:t>
      </w:r>
      <w:r>
        <w:rPr>
          <w:color w:val="000000"/>
          <w:lang w:val="sr-Latn-RS"/>
        </w:rPr>
        <w:t xml:space="preserve"> </w:t>
      </w:r>
      <w:r>
        <w:rPr>
          <w:color w:val="000000"/>
        </w:rPr>
        <w:t>закона</w:t>
      </w:r>
      <w:r>
        <w:rPr>
          <w:color w:val="000000"/>
          <w:lang w:val="sr-Latn-RS"/>
        </w:rPr>
        <w:t xml:space="preserve"> </w:t>
      </w:r>
      <w:r>
        <w:rPr>
          <w:color w:val="000000"/>
        </w:rPr>
        <w:t>које</w:t>
      </w:r>
      <w:r>
        <w:rPr>
          <w:color w:val="000000"/>
          <w:lang w:val="sr-Latn-RS"/>
        </w:rPr>
        <w:t xml:space="preserve"> </w:t>
      </w:r>
      <w:r>
        <w:rPr>
          <w:color w:val="000000"/>
        </w:rPr>
        <w:t>одлучује</w:t>
      </w:r>
      <w:r>
        <w:rPr>
          <w:color w:val="000000"/>
          <w:lang w:val="sr-Latn-RS"/>
        </w:rPr>
        <w:t xml:space="preserve"> </w:t>
      </w:r>
      <w:r>
        <w:rPr>
          <w:color w:val="000000"/>
        </w:rPr>
        <w:t>о</w:t>
      </w:r>
      <w:r>
        <w:rPr>
          <w:color w:val="000000"/>
          <w:lang w:val="sr-Latn-RS"/>
        </w:rPr>
        <w:t xml:space="preserve"> </w:t>
      </w:r>
      <w:r>
        <w:rPr>
          <w:color w:val="000000"/>
        </w:rPr>
        <w:t>његовим</w:t>
      </w:r>
      <w:r>
        <w:rPr>
          <w:color w:val="000000"/>
          <w:lang w:val="sr-Latn-RS"/>
        </w:rPr>
        <w:t xml:space="preserve"> </w:t>
      </w:r>
      <w:r>
        <w:rPr>
          <w:color w:val="000000"/>
        </w:rPr>
        <w:t>правима</w:t>
      </w:r>
      <w:r>
        <w:rPr>
          <w:color w:val="000000"/>
          <w:lang w:val="sr-Latn-RS"/>
        </w:rPr>
        <w:t xml:space="preserve">, </w:t>
      </w:r>
      <w:r>
        <w:rPr>
          <w:color w:val="000000"/>
        </w:rPr>
        <w:t>обавезама</w:t>
      </w:r>
      <w:r>
        <w:rPr>
          <w:color w:val="000000"/>
          <w:lang w:val="sr-Latn-RS"/>
        </w:rPr>
        <w:t xml:space="preserve"> </w:t>
      </w:r>
      <w:r>
        <w:rPr>
          <w:color w:val="000000"/>
        </w:rPr>
        <w:t>и</w:t>
      </w:r>
      <w:r>
        <w:rPr>
          <w:color w:val="000000"/>
          <w:lang w:val="sr-Latn-RS"/>
        </w:rPr>
        <w:t xml:space="preserve"> </w:t>
      </w:r>
      <w:r>
        <w:rPr>
          <w:color w:val="000000"/>
        </w:rPr>
        <w:t>одговорностима</w:t>
      </w:r>
      <w:r>
        <w:rPr>
          <w:color w:val="000000"/>
          <w:lang w:val="sr-Latn-RS"/>
        </w:rPr>
        <w:t>.</w:t>
      </w:r>
      <w:r>
        <w:rPr>
          <w:rStyle w:val="Appleconvertedspace"/>
          <w:color w:val="000000"/>
          <w:lang w:val="sr-Latn-RS"/>
        </w:rPr>
        <w:t> </w:t>
      </w:r>
      <w:r>
        <w:rPr>
          <w:color w:val="000000"/>
          <w:lang w:val="sr-RS"/>
        </w:rPr>
        <w:t>Ставом 3.</w:t>
      </w:r>
      <w:r>
        <w:rPr>
          <w:color w:val="000000"/>
          <w:lang w:val="sr-Latn-RS"/>
        </w:rPr>
        <w:t xml:space="preserve"> </w:t>
      </w:r>
      <w:r>
        <w:rPr>
          <w:color w:val="000000"/>
          <w:lang w:val="sr-RS"/>
        </w:rPr>
        <w:t>наведеног</w:t>
      </w:r>
      <w:r>
        <w:rPr>
          <w:color w:val="000000"/>
          <w:lang w:val="sr-Latn-RS"/>
        </w:rPr>
        <w:t xml:space="preserve"> </w:t>
      </w:r>
      <w:r>
        <w:rPr>
          <w:color w:val="000000"/>
        </w:rPr>
        <w:t>горе</w:t>
      </w:r>
      <w:r>
        <w:rPr>
          <w:color w:val="000000"/>
          <w:lang w:val="sr-Latn-RS"/>
        </w:rPr>
        <w:t xml:space="preserve"> </w:t>
      </w:r>
      <w:r>
        <w:rPr>
          <w:color w:val="000000"/>
        </w:rPr>
        <w:t>наведеног</w:t>
      </w:r>
      <w:r>
        <w:rPr>
          <w:color w:val="000000"/>
          <w:lang w:val="sr-Latn-RS"/>
        </w:rPr>
        <w:t xml:space="preserve"> </w:t>
      </w:r>
      <w:r>
        <w:rPr>
          <w:color w:val="000000"/>
        </w:rPr>
        <w:t>члана</w:t>
      </w:r>
      <w:r>
        <w:rPr>
          <w:color w:val="000000"/>
          <w:lang w:val="sr-Latn-RS"/>
        </w:rPr>
        <w:t xml:space="preserve">, </w:t>
      </w:r>
      <w:r>
        <w:rPr>
          <w:color w:val="000000"/>
          <w:lang w:val="sr-RS"/>
        </w:rPr>
        <w:t xml:space="preserve">прописано је да </w:t>
      </w:r>
      <w:r>
        <w:rPr>
          <w:color w:val="000000"/>
        </w:rPr>
        <w:t>начелника</w:t>
      </w:r>
      <w:r>
        <w:rPr>
          <w:color w:val="000000"/>
          <w:lang w:val="sr-Latn-RS"/>
        </w:rPr>
        <w:t xml:space="preserve"> </w:t>
      </w:r>
      <w:r>
        <w:rPr>
          <w:color w:val="000000"/>
        </w:rPr>
        <w:t>управе</w:t>
      </w:r>
      <w:r>
        <w:rPr>
          <w:color w:val="000000"/>
          <w:lang w:val="sr-Latn-RS"/>
        </w:rPr>
        <w:t xml:space="preserve"> </w:t>
      </w:r>
      <w:r>
        <w:rPr>
          <w:color w:val="000000"/>
        </w:rPr>
        <w:t>и</w:t>
      </w:r>
      <w:r>
        <w:rPr>
          <w:color w:val="000000"/>
          <w:lang w:val="sr-Latn-RS"/>
        </w:rPr>
        <w:t xml:space="preserve"> </w:t>
      </w:r>
      <w:r>
        <w:rPr>
          <w:color w:val="000000"/>
        </w:rPr>
        <w:t>заменика</w:t>
      </w:r>
      <w:r>
        <w:rPr>
          <w:color w:val="000000"/>
          <w:lang w:val="sr-Latn-RS"/>
        </w:rPr>
        <w:t xml:space="preserve"> </w:t>
      </w:r>
      <w:r>
        <w:rPr>
          <w:color w:val="000000"/>
        </w:rPr>
        <w:t>начелника</w:t>
      </w:r>
      <w:r>
        <w:rPr>
          <w:color w:val="000000"/>
          <w:lang w:val="sr-Latn-RS"/>
        </w:rPr>
        <w:t xml:space="preserve"> </w:t>
      </w:r>
      <w:r>
        <w:rPr>
          <w:color w:val="000000"/>
        </w:rPr>
        <w:t>управе</w:t>
      </w:r>
      <w:r>
        <w:rPr>
          <w:color w:val="000000"/>
          <w:lang w:val="sr-Latn-RS"/>
        </w:rPr>
        <w:t xml:space="preserve"> </w:t>
      </w:r>
      <w:r>
        <w:rPr>
          <w:color w:val="000000"/>
        </w:rPr>
        <w:t>оцењује</w:t>
      </w:r>
      <w:r>
        <w:rPr>
          <w:color w:val="000000"/>
          <w:lang w:val="sr-Latn-RS"/>
        </w:rPr>
        <w:t xml:space="preserve"> </w:t>
      </w:r>
      <w:r>
        <w:rPr>
          <w:color w:val="000000"/>
        </w:rPr>
        <w:t>градоначелник</w:t>
      </w:r>
      <w:r>
        <w:rPr>
          <w:color w:val="000000"/>
          <w:lang w:val="sr-Latn-RS"/>
        </w:rPr>
        <w:t xml:space="preserve">, </w:t>
      </w:r>
      <w:r>
        <w:rPr>
          <w:color w:val="000000"/>
        </w:rPr>
        <w:t>односно</w:t>
      </w:r>
      <w:r>
        <w:rPr>
          <w:color w:val="000000"/>
          <w:lang w:val="sr-Latn-RS"/>
        </w:rPr>
        <w:t xml:space="preserve"> </w:t>
      </w:r>
      <w:r>
        <w:rPr>
          <w:color w:val="000000"/>
        </w:rPr>
        <w:t>председник</w:t>
      </w:r>
      <w:r>
        <w:rPr>
          <w:color w:val="000000"/>
          <w:lang w:val="sr-Latn-RS"/>
        </w:rPr>
        <w:t xml:space="preserve"> </w:t>
      </w:r>
      <w:r>
        <w:rPr>
          <w:color w:val="000000"/>
        </w:rPr>
        <w:t>општине</w:t>
      </w:r>
      <w:r>
        <w:rPr>
          <w:color w:val="000000"/>
          <w:lang w:val="sr-Latn-RS"/>
        </w:rPr>
        <w:t xml:space="preserve"> </w:t>
      </w:r>
      <w:r>
        <w:rPr>
          <w:color w:val="000000"/>
        </w:rPr>
        <w:t>или</w:t>
      </w:r>
      <w:r>
        <w:rPr>
          <w:color w:val="000000"/>
          <w:lang w:val="sr-Latn-RS"/>
        </w:rPr>
        <w:t xml:space="preserve"> </w:t>
      </w:r>
      <w:r>
        <w:rPr>
          <w:color w:val="000000"/>
        </w:rPr>
        <w:t>председник</w:t>
      </w:r>
      <w:r>
        <w:rPr>
          <w:color w:val="000000"/>
          <w:lang w:val="sr-Latn-RS"/>
        </w:rPr>
        <w:t xml:space="preserve"> </w:t>
      </w:r>
      <w:r>
        <w:rPr>
          <w:color w:val="000000"/>
        </w:rPr>
        <w:t>градске</w:t>
      </w:r>
      <w:r>
        <w:rPr>
          <w:color w:val="000000"/>
          <w:lang w:val="sr-Latn-RS"/>
        </w:rPr>
        <w:t xml:space="preserve"> </w:t>
      </w:r>
      <w:r>
        <w:rPr>
          <w:color w:val="000000"/>
        </w:rPr>
        <w:t>општине</w:t>
      </w:r>
      <w:r>
        <w:rPr>
          <w:color w:val="000000"/>
          <w:lang w:val="sr-Latn-RS"/>
        </w:rPr>
        <w:t>.</w:t>
      </w:r>
    </w:p>
    <w:p>
      <w:pPr>
        <w:pStyle w:val="Normal"/>
        <w:shd w:val="clear" w:color="auto" w:fill="FFFFFF"/>
        <w:spacing w:before="48" w:after="48"/>
        <w:rPr>
          <w:color w:val="000000"/>
          <w:sz w:val="24"/>
          <w:szCs w:val="24"/>
          <w:lang w:val="sr-RS"/>
        </w:rPr>
      </w:pPr>
      <w:r>
        <w:rPr>
          <w:color w:val="000000"/>
          <w:sz w:val="24"/>
          <w:szCs w:val="24"/>
          <w:lang w:val="sr-RS"/>
        </w:rPr>
        <w:tab/>
        <w:t>Чланом 3. став 3.  Уредебе о оцењивању службеника (даље: Уредба)  прописано је да лице које одлучује које одлучује о правима, обавезам и одговрностима службеника доноси, најкасније до краја фебруара текуће године, решење којим одређује оцену службенику за период за оцењивање.</w:t>
      </w:r>
    </w:p>
    <w:p>
      <w:pPr>
        <w:pStyle w:val="Normal1"/>
        <w:spacing w:beforeAutospacing="0" w:before="0" w:afterAutospacing="0" w:after="0"/>
        <w:jc w:val="both"/>
        <w:rPr>
          <w:color w:val="000000"/>
          <w:lang w:val="sr-RS"/>
        </w:rPr>
      </w:pPr>
      <w:r>
        <w:rPr>
          <w:color w:val="000000"/>
          <w:lang w:val="sr-RS"/>
        </w:rPr>
        <w:tab/>
        <w:t>Чланом 35. Уредбе прописано је лице из члана 3. став 3. Уредбе, пошто од јединице за управљање људским ресурсима прими правилно припремљен извештај о оцењивању, доноси решење којим службенику одређује оцену.</w:t>
      </w:r>
      <w:r>
        <w:rPr>
          <w:rStyle w:val="Appleconvertedspace"/>
          <w:color w:val="000000"/>
        </w:rPr>
        <w:t> </w:t>
      </w:r>
    </w:p>
    <w:p>
      <w:pPr>
        <w:pStyle w:val="Normal1"/>
        <w:spacing w:beforeAutospacing="0" w:before="0" w:afterAutospacing="0" w:after="0"/>
        <w:ind w:firstLine="720"/>
        <w:jc w:val="both"/>
        <w:rPr>
          <w:color w:val="000000"/>
          <w:lang w:val="sr-RS"/>
        </w:rPr>
      </w:pPr>
      <w:r>
        <w:rPr>
          <w:color w:val="000000"/>
          <w:lang w:val="sr-RS"/>
        </w:rPr>
        <w:t>Предлог решења којим се службенику одређује оцена припрема јединица за управљање људским ресурсима.</w:t>
      </w:r>
    </w:p>
    <w:p>
      <w:pPr>
        <w:pStyle w:val="Normal"/>
        <w:shd w:val="clear" w:color="auto" w:fill="FFFFFF"/>
        <w:spacing w:before="48" w:after="48"/>
        <w:ind w:firstLine="720"/>
        <w:rPr/>
      </w:pPr>
      <w:r>
        <w:rPr>
          <w:color w:val="000000"/>
          <w:sz w:val="24"/>
          <w:szCs w:val="24"/>
          <w:lang w:val="sr-RS"/>
        </w:rPr>
        <w:t>Истеком периода за оцењивање оцењивач је припремио извештај о оцењивању ____________________, распоређеног на радно место _________________________, разврстано у звање ___________________________ и доставио је позив за разговор. По обављеном разговору дана _____________ године извештај о оцењивању су потписали службеник који није имао коментар/који је изнео следећи коментар______________ и оцењивач.</w:t>
      </w:r>
      <w:r>
        <w:rPr>
          <w:color w:val="000000"/>
          <w:sz w:val="24"/>
          <w:szCs w:val="24"/>
          <w:lang w:val="sr-Latn-RS"/>
        </w:rPr>
        <w:t xml:space="preserve"> </w:t>
      </w:r>
      <w:r>
        <w:rPr>
          <w:color w:val="000000"/>
          <w:sz w:val="24"/>
          <w:szCs w:val="24"/>
          <w:lang w:val="sr-RS"/>
        </w:rPr>
        <w:t xml:space="preserve">АКО ИМА КОНТРОЛОРА: Извештај је даље достављен контролору који га је потписао и није имао коментаре / изнео следећи коментар ___________. Службенику за управљање људским ресурсима је достављен извештај о оцењивању именованог службеника, који је правилно припремљен. На основу овог извештаја сачињен је предлог решења, који је достављен руководиоцу. </w:t>
      </w:r>
      <w:r>
        <w:rPr>
          <w:sz w:val="24"/>
          <w:szCs w:val="24"/>
          <w:lang w:val="ru-RU"/>
        </w:rPr>
        <w:tab/>
      </w:r>
    </w:p>
    <w:p>
      <w:pPr>
        <w:pStyle w:val="Normal"/>
        <w:rPr>
          <w:sz w:val="24"/>
          <w:szCs w:val="24"/>
          <w:lang w:val="ru-RU"/>
        </w:rPr>
      </w:pPr>
      <w:r>
        <w:rPr>
          <w:sz w:val="24"/>
          <w:szCs w:val="24"/>
          <w:lang w:val="ru-RU"/>
        </w:rPr>
        <w:tab/>
        <w:t>Уредбом о оцењивању службеник, прописано је, између осталог: да се службеник у органима, службама и организацијама аутономне покрајине и јединице локалне самоуправе оцењује за период од 1. јануара до 31. децембра, с тим што се резултати постигнути у извршењу послова радног места и постављених циљева вреднују квартално (члан 3. став 2); да лице које одлучује о правима, обавезама и одговрностима службеника доноси решење којим одређује оцену службенику, најкасније до краја фебруара, за претходни период за оцењивање (члан 3. став 2); да се решење лица које одлучује о правима, обавезама и одговрностима службеника заснива на извештају о оцењивању који припрема лице које је непосредно претпостављено службенику (члан 3. став 6.) да на решење о оцењивању лице које је непосредно претпостављено оцењивачу ставља контролни потпис (члан 3. став 7.); да извештај о оцењивању садржи предлог оцене  службенику и податке значајне за предлог оцене (члан 24. став 3); да се предлог оцене одређује тако што се најпре, према мерилу за оцењивање „постигнути резултати“, државни службеник оцени оценама од 1 до 4 („не задовољава“, „задовољава“, „добар“, „истиче се“), за сваки квартал периода за оцењивање, при чему се води рачуна о појединачном значају сваког утврђеног радног циља, а потом се израчунава просечна оцена за цео период за оцењивање (члан 26. став 1); да се према сваком преосталом мерилу појединачно („самосталност“, „стваралачка способност“, „предузимљивост“, „прецизност и савесност“, „квалитет сарадње“ и ако постоје „додатна мерила за оцењивање“), државни службеник оцени оценама од 1 до 4 („не задовољава“, „задовољава“, „добар“, „истиче се“), за цео период за оцењивање, па се израчунава његова просечна оцена према свим тим мерилима заједно (члан 26. став 2); да се просечна оцена добијена применом мерила „постигнути резултати“ сабира са просечном оценом добијеном применом свих преосталих мерила за оцењивање, тако добијени број се дели с бројем два, па се на основу добијеног резултата, предлог оцене одређује на следећи начин: резултат од 3,77 до 4,00 – предлог оцене је „истиче се“; резултат од 2,77 до 3,76 – предлог оцене је „добар“; резултат од 1,65 до 2,76 – предлог оцене је „задовољава“; резултат испод 1,65 – предлог оцене је „не задовољава“ (члан 26. став 3); да руководилац државног органа, пошто од јединице за кадрове прими правилно припремљен извештај о оцењивању, доноси решење којим државном службенику одређује оцену (члан 35. став 1).</w:t>
      </w:r>
    </w:p>
    <w:p>
      <w:pPr>
        <w:pStyle w:val="Normal"/>
        <w:rPr>
          <w:sz w:val="24"/>
          <w:szCs w:val="24"/>
          <w:lang w:val="sr-RS"/>
        </w:rPr>
      </w:pPr>
      <w:r>
        <w:rPr>
          <w:sz w:val="24"/>
          <w:szCs w:val="24"/>
          <w:lang w:val="sr-RS"/>
        </w:rPr>
      </w:r>
    </w:p>
    <w:p>
      <w:pPr>
        <w:pStyle w:val="Normal"/>
        <w:rPr>
          <w:sz w:val="24"/>
          <w:szCs w:val="24"/>
          <w:lang w:val="ru-RU"/>
        </w:rPr>
      </w:pPr>
      <w:r>
        <w:rPr>
          <w:sz w:val="24"/>
          <w:szCs w:val="24"/>
          <w:lang w:val="ru-RU"/>
        </w:rPr>
        <w:t>Увидом у припремљени извештај о оцењивању, утврђено је да именовани/а према мерилу за оцењивање „постигнути резултати“ оцењен просечном оценом __ ; према ''осталим мерилима за оцењивање'' оцењен/а је просечном оценом</w:t>
      </w:r>
      <w:r>
        <w:rPr>
          <w:sz w:val="24"/>
          <w:szCs w:val="24"/>
          <w:lang w:val="sr-RS"/>
        </w:rPr>
        <w:t xml:space="preserve">  ___ </w:t>
      </w:r>
      <w:r>
        <w:rPr>
          <w:sz w:val="24"/>
          <w:szCs w:val="24"/>
          <w:lang w:val="ru-RU"/>
        </w:rPr>
        <w:t xml:space="preserve">, тако да му је применом члана 26. став 3. Уредбе о оцењивању службеника одређена оцена  </w:t>
      </w:r>
      <w:r>
        <w:rPr>
          <w:sz w:val="24"/>
          <w:szCs w:val="24"/>
          <w:lang w:val="sr-RS"/>
        </w:rPr>
        <w:t>„</w:t>
      </w:r>
      <w:r>
        <w:rPr>
          <w:b/>
          <w:sz w:val="24"/>
          <w:szCs w:val="24"/>
          <w:lang w:val="sr-RS"/>
        </w:rPr>
        <w:t xml:space="preserve">________________________“ _____ </w:t>
      </w:r>
      <w:r>
        <w:rPr>
          <w:b/>
          <w:sz w:val="24"/>
          <w:szCs w:val="24"/>
          <w:lang w:val="ru-RU"/>
        </w:rPr>
        <w:t>.</w:t>
      </w:r>
    </w:p>
    <w:p>
      <w:pPr>
        <w:pStyle w:val="Normal"/>
        <w:rPr>
          <w:sz w:val="24"/>
          <w:szCs w:val="24"/>
          <w:lang w:val="ru-RU"/>
        </w:rPr>
      </w:pPr>
      <w:r>
        <w:rPr>
          <w:sz w:val="24"/>
          <w:szCs w:val="24"/>
          <w:lang w:val="ru-RU"/>
        </w:rPr>
      </w:r>
    </w:p>
    <w:p>
      <w:pPr>
        <w:pStyle w:val="Normal"/>
        <w:rPr>
          <w:sz w:val="24"/>
          <w:szCs w:val="24"/>
          <w:lang w:val="ru-RU"/>
        </w:rPr>
      </w:pPr>
      <w:r>
        <w:rPr>
          <w:sz w:val="24"/>
          <w:szCs w:val="24"/>
          <w:lang w:val="ru-RU"/>
        </w:rPr>
        <w:t>На основу свега наведеног, имајући у виду утврђено чињенично стање, одлучено је као у диспозитиву решења.</w:t>
      </w:r>
    </w:p>
    <w:p>
      <w:pPr>
        <w:pStyle w:val="Normal"/>
        <w:tabs>
          <w:tab w:val="left" w:pos="900" w:leader="none"/>
          <w:tab w:val="left" w:pos="1080" w:leader="none"/>
          <w:tab w:val="left" w:pos="5550" w:leader="none"/>
        </w:tabs>
        <w:rPr>
          <w:sz w:val="24"/>
          <w:szCs w:val="24"/>
          <w:lang w:val="ru-RU"/>
        </w:rPr>
      </w:pPr>
      <w:r>
        <w:rPr>
          <w:sz w:val="24"/>
          <w:szCs w:val="24"/>
          <w:lang w:val="ru-RU"/>
        </w:rPr>
      </w:r>
    </w:p>
    <w:p>
      <w:pPr>
        <w:pStyle w:val="Normal"/>
        <w:tabs>
          <w:tab w:val="left" w:pos="900" w:leader="none"/>
          <w:tab w:val="left" w:pos="1080" w:leader="none"/>
          <w:tab w:val="left" w:pos="5550" w:leader="none"/>
        </w:tabs>
        <w:rPr>
          <w:i/>
          <w:i/>
          <w:sz w:val="24"/>
          <w:szCs w:val="24"/>
          <w:lang w:val="ru-RU"/>
        </w:rPr>
      </w:pPr>
      <w:r>
        <w:rPr>
          <w:i/>
          <w:sz w:val="22"/>
          <w:szCs w:val="22"/>
          <w:lang w:val="ru-RU"/>
        </w:rPr>
        <w:t>УПУТСТВО О ПРАВНОМ СРЕДСТВУ</w:t>
      </w:r>
      <w:r>
        <w:rPr>
          <w:i/>
          <w:sz w:val="24"/>
          <w:szCs w:val="24"/>
          <w:lang w:val="ru-RU"/>
        </w:rPr>
        <w:t xml:space="preserve">: </w:t>
      </w:r>
    </w:p>
    <w:p>
      <w:pPr>
        <w:pStyle w:val="Normal"/>
        <w:ind w:right="23" w:hanging="0"/>
        <w:rPr>
          <w:sz w:val="24"/>
          <w:szCs w:val="24"/>
          <w:lang w:val="ru-RU"/>
        </w:rPr>
      </w:pPr>
      <w:r>
        <w:rPr>
          <w:i/>
          <w:sz w:val="24"/>
          <w:szCs w:val="24"/>
          <w:lang w:val="ru-RU"/>
        </w:rPr>
        <w:t>Против овог решења може се  изјавити жалба Жалбеној комис</w:t>
      </w:r>
      <w:r>
        <w:rPr>
          <w:i/>
          <w:sz w:val="24"/>
          <w:szCs w:val="24"/>
          <w:lang w:val="sr-RS"/>
        </w:rPr>
        <w:t>ији</w:t>
      </w:r>
      <w:r>
        <w:rPr>
          <w:i/>
          <w:sz w:val="24"/>
          <w:szCs w:val="24"/>
          <w:lang w:val="ru-RU"/>
        </w:rPr>
        <w:t xml:space="preserve">, у року од 8 дана од дана </w:t>
      </w:r>
      <w:r>
        <w:rPr>
          <w:i/>
          <w:sz w:val="24"/>
          <w:szCs w:val="24"/>
          <w:lang w:val="sr-RS"/>
        </w:rPr>
        <w:t>достављања</w:t>
      </w:r>
      <w:r>
        <w:rPr>
          <w:i/>
          <w:sz w:val="24"/>
          <w:szCs w:val="24"/>
          <w:lang w:val="ru-RU"/>
        </w:rPr>
        <w:t xml:space="preserve"> решења.</w:t>
      </w:r>
    </w:p>
    <w:p>
      <w:pPr>
        <w:pStyle w:val="Normal"/>
        <w:tabs>
          <w:tab w:val="left" w:pos="5550" w:leader="none"/>
        </w:tabs>
        <w:rPr>
          <w:i/>
          <w:i/>
          <w:sz w:val="24"/>
          <w:szCs w:val="24"/>
          <w:lang w:val="ru-RU"/>
        </w:rPr>
      </w:pPr>
      <w:r>
        <w:rPr>
          <w:i/>
          <w:sz w:val="24"/>
          <w:szCs w:val="24"/>
          <w:lang w:val="ru-RU"/>
        </w:rPr>
      </w:r>
    </w:p>
    <w:p>
      <w:pPr>
        <w:pStyle w:val="Normal"/>
        <w:tabs>
          <w:tab w:val="left" w:pos="5550" w:leader="none"/>
        </w:tabs>
        <w:rPr>
          <w:i/>
          <w:i/>
          <w:lang w:val="ru-RU"/>
        </w:rPr>
      </w:pPr>
      <w:r>
        <w:rPr>
          <w:i/>
          <w:u w:val="single"/>
          <w:lang w:val="ru-RU"/>
        </w:rPr>
        <w:t>Решење доставити</w:t>
      </w:r>
      <w:r>
        <w:rPr>
          <w:i/>
          <w:lang w:val="ru-RU"/>
        </w:rPr>
        <w:t>:</w:t>
      </w:r>
    </w:p>
    <w:p>
      <w:pPr>
        <w:pStyle w:val="Normal"/>
        <w:tabs>
          <w:tab w:val="left" w:pos="5550" w:leader="none"/>
        </w:tabs>
        <w:rPr>
          <w:b/>
          <w:b/>
          <w:sz w:val="24"/>
          <w:szCs w:val="24"/>
          <w:lang w:val="ru-RU"/>
        </w:rPr>
      </w:pPr>
      <w:r>
        <w:rPr>
          <w:i/>
          <w:lang w:val="ru-RU"/>
        </w:rPr>
        <w:t>-  начелнику</w:t>
      </w:r>
      <w:r>
        <w:rPr>
          <w:i/>
          <w:lang w:val="sr-RS"/>
        </w:rPr>
        <w:t>/заменику начелника/службенику/намештенику</w:t>
      </w:r>
      <w:r>
        <w:rPr>
          <w:i/>
          <w:lang w:val="ru-RU"/>
        </w:rPr>
        <w:t xml:space="preserve">                                                                                         </w:t>
      </w:r>
    </w:p>
    <w:p>
      <w:pPr>
        <w:pStyle w:val="Normal"/>
        <w:tabs>
          <w:tab w:val="left" w:pos="5550" w:leader="none"/>
        </w:tabs>
        <w:rPr>
          <w:i/>
          <w:i/>
          <w:lang w:val="ru-RU"/>
        </w:rPr>
      </w:pPr>
      <w:r>
        <w:rPr>
          <w:i/>
          <w:lang w:val="ru-RU"/>
        </w:rPr>
        <w:t>-  кадровској евиденцији</w:t>
      </w:r>
    </w:p>
    <w:p>
      <w:pPr>
        <w:pStyle w:val="Normal"/>
        <w:tabs>
          <w:tab w:val="left" w:pos="5550" w:leader="none"/>
        </w:tabs>
        <w:rPr>
          <w:i/>
          <w:i/>
          <w:lang w:val="ru-RU"/>
        </w:rPr>
      </w:pPr>
      <w:r>
        <w:rPr>
          <w:i/>
          <w:lang w:val="sr-RS"/>
        </w:rPr>
        <w:t>-организационој јединици за финансије</w:t>
      </w:r>
      <w:r>
        <w:rPr>
          <w:i/>
          <w:lang w:val="ru-RU"/>
        </w:rPr>
        <w:t xml:space="preserve">                                                </w:t>
      </w:r>
    </w:p>
    <w:p>
      <w:pPr>
        <w:pStyle w:val="Normal"/>
        <w:tabs>
          <w:tab w:val="left" w:pos="5550" w:leader="none"/>
        </w:tabs>
        <w:rPr>
          <w:i/>
          <w:i/>
        </w:rPr>
      </w:pPr>
      <w:r>
        <w:rPr>
          <w:i/>
        </w:rPr>
        <w:t>-  архиви</w:t>
      </w:r>
    </w:p>
    <w:p>
      <w:pPr>
        <w:pStyle w:val="Normal"/>
        <w:tabs>
          <w:tab w:val="left" w:pos="5550" w:leader="none"/>
        </w:tabs>
        <w:rPr>
          <w:i/>
          <w:i/>
        </w:rPr>
      </w:pPr>
      <w:r>
        <w:rPr>
          <w:i/>
        </w:rPr>
      </w:r>
    </w:p>
    <w:p>
      <w:pPr>
        <w:pStyle w:val="Normal"/>
        <w:tabs>
          <w:tab w:val="left" w:pos="5550" w:leader="none"/>
        </w:tabs>
        <w:rPr>
          <w:i/>
          <w:i/>
        </w:rPr>
      </w:pPr>
      <w:r>
        <w:rPr>
          <w:i/>
        </w:rPr>
      </w:r>
    </w:p>
    <w:p>
      <w:pPr>
        <w:pStyle w:val="Normal"/>
        <w:tabs>
          <w:tab w:val="left" w:pos="5550" w:leader="none"/>
        </w:tabs>
        <w:rPr>
          <w:i/>
          <w:i/>
        </w:rPr>
      </w:pPr>
      <w:r>
        <w:rPr>
          <w:i/>
        </w:rPr>
      </w:r>
    </w:p>
    <w:p>
      <w:pPr>
        <w:pStyle w:val="Normal"/>
        <w:tabs>
          <w:tab w:val="left" w:pos="5550" w:leader="none"/>
        </w:tabs>
        <w:jc w:val="right"/>
        <w:rPr>
          <w:b/>
          <w:b/>
          <w:sz w:val="24"/>
          <w:szCs w:val="24"/>
        </w:rPr>
      </w:pPr>
      <w:r>
        <w:rPr>
          <w:i/>
          <w:lang w:val="sr-RS"/>
        </w:rPr>
        <w:t>________________________________________</w:t>
      </w:r>
      <w:r>
        <w:rPr>
          <w:i/>
        </w:rPr>
        <w:t xml:space="preserve">                                                                                                         </w:t>
      </w:r>
    </w:p>
    <w:p>
      <w:pPr>
        <w:pStyle w:val="Normal"/>
        <w:tabs>
          <w:tab w:val="left" w:pos="5550" w:leader="none"/>
        </w:tabs>
        <w:jc w:val="center"/>
        <w:rPr>
          <w:i/>
          <w:i/>
        </w:rPr>
      </w:pPr>
      <w:r>
        <w:rPr>
          <w:b/>
          <w:sz w:val="24"/>
          <w:szCs w:val="24"/>
        </w:rPr>
        <w:t xml:space="preserve">                        </w:t>
      </w:r>
    </w:p>
    <w:p>
      <w:pPr>
        <w:pStyle w:val="Normal"/>
        <w:rPr/>
      </w:pPr>
      <w:r>
        <w:rPr/>
      </w:r>
    </w:p>
    <w:sectPr>
      <w:headerReference w:type="default" r:id="rId2"/>
      <w:type w:val="nextPage"/>
      <w:pgSz w:w="11906" w:h="16838"/>
      <w:pgMar w:left="1440" w:right="1440" w:header="72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lang w:val="sr-Latn-RS"/>
      </w:rPr>
    </w:pPr>
    <w:r>
      <w:rPr>
        <w:b/>
        <w:lang w:val="sr-Latn-RS"/>
      </w:rPr>
      <w:t>4. Modeli akata, dokumenata i obrazaca</w:t>
    </w:r>
  </w:p>
  <w:p>
    <w:pPr>
      <w:pStyle w:val="Header"/>
      <w:rPr>
        <w:b/>
        <w:b/>
        <w:i/>
        <w:i/>
        <w:lang w:val="sr-Latn-RS"/>
      </w:rPr>
    </w:pPr>
    <w:r>
      <w:rPr>
        <w:b/>
        <w:i/>
        <w:lang w:val="sr-Latn-RS"/>
      </w:rPr>
      <w:t xml:space="preserve">4.4. Ocenjivanje službenika </w:t>
    </w:r>
  </w:p>
  <w:p>
    <w:pPr>
      <w:pStyle w:val="Header"/>
      <w:rPr>
        <w:lang w:val="sr-Latn-RS"/>
      </w:rPr>
    </w:pPr>
    <w:r>
      <w:rPr>
        <w:lang w:val="sr-Latn-RS"/>
      </w:rPr>
      <w:t>4.4.2. Model Rešenja o ocenjivanju</w:t>
    </w:r>
  </w:p>
  <w:p>
    <w:pPr>
      <w:pStyle w:val="Header"/>
      <w:rPr>
        <w:lang w:val="sr-Latn-RS"/>
      </w:rPr>
    </w:pPr>
    <w:r>
      <w:rPr>
        <w:lang w:val="sr-Latn-RS"/>
      </w:rPr>
    </w:r>
  </w:p>
</w:hdr>
</file>

<file path=word/settings.xml><?xml version="1.0" encoding="utf-8"?>
<w:settings xmlns:w="http://schemas.openxmlformats.org/wordprocessingml/2006/main">
  <w:zoom w:percent="116"/>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36bcf"/>
    <w:pPr>
      <w:widowControl/>
      <w:bidi w:val="0"/>
      <w:spacing w:lineRule="auto" w:line="240" w:before="0" w:after="0"/>
      <w:jc w:val="both"/>
    </w:pPr>
    <w:rPr>
      <w:rFonts w:ascii="Times New Roman" w:hAnsi="Times New Roman" w:eastAsia="Times New Roman" w:cs="Times New Roman"/>
      <w:color w:val="auto"/>
      <w:kern w:val="0"/>
      <w:sz w:val="20"/>
      <w:szCs w:val="20"/>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136bcf"/>
    <w:rPr>
      <w:rFonts w:ascii="Tahoma" w:hAnsi="Tahoma" w:eastAsia="Times New Roman" w:cs="Tahoma"/>
      <w:sz w:val="16"/>
      <w:szCs w:val="16"/>
    </w:rPr>
  </w:style>
  <w:style w:type="character" w:styleId="Annotationreference">
    <w:name w:val="annotation reference"/>
    <w:basedOn w:val="DefaultParagraphFont"/>
    <w:uiPriority w:val="99"/>
    <w:semiHidden/>
    <w:unhideWhenUsed/>
    <w:qFormat/>
    <w:rsid w:val="0050406e"/>
    <w:rPr>
      <w:sz w:val="16"/>
      <w:szCs w:val="16"/>
    </w:rPr>
  </w:style>
  <w:style w:type="character" w:styleId="CommentTextChar" w:customStyle="1">
    <w:name w:val="Comment Text Char"/>
    <w:basedOn w:val="DefaultParagraphFont"/>
    <w:link w:val="CommentText"/>
    <w:uiPriority w:val="99"/>
    <w:semiHidden/>
    <w:qFormat/>
    <w:rsid w:val="0050406e"/>
    <w:rPr>
      <w:rFonts w:ascii="Times New Roman" w:hAnsi="Times New Roman" w:eastAsia="Times New Roman" w:cs="Times New Roman"/>
      <w:sz w:val="20"/>
      <w:szCs w:val="20"/>
    </w:rPr>
  </w:style>
  <w:style w:type="character" w:styleId="CommentSubjectChar" w:customStyle="1">
    <w:name w:val="Comment Subject Char"/>
    <w:basedOn w:val="CommentTextChar"/>
    <w:link w:val="CommentSubject"/>
    <w:uiPriority w:val="99"/>
    <w:semiHidden/>
    <w:qFormat/>
    <w:rsid w:val="0050406e"/>
    <w:rPr>
      <w:rFonts w:ascii="Times New Roman" w:hAnsi="Times New Roman" w:eastAsia="Times New Roman" w:cs="Times New Roman"/>
      <w:b/>
      <w:bCs/>
      <w:sz w:val="20"/>
      <w:szCs w:val="20"/>
    </w:rPr>
  </w:style>
  <w:style w:type="character" w:styleId="HeaderChar" w:customStyle="1">
    <w:name w:val="Header Char"/>
    <w:basedOn w:val="DefaultParagraphFont"/>
    <w:link w:val="Header"/>
    <w:uiPriority w:val="99"/>
    <w:qFormat/>
    <w:rsid w:val="00301a1a"/>
    <w:rPr>
      <w:rFonts w:ascii="Times New Roman" w:hAnsi="Times New Roman" w:eastAsia="Times New Roman" w:cs="Times New Roman"/>
      <w:sz w:val="20"/>
      <w:szCs w:val="20"/>
    </w:rPr>
  </w:style>
  <w:style w:type="character" w:styleId="FooterChar" w:customStyle="1">
    <w:name w:val="Footer Char"/>
    <w:basedOn w:val="DefaultParagraphFont"/>
    <w:link w:val="Footer"/>
    <w:uiPriority w:val="99"/>
    <w:qFormat/>
    <w:rsid w:val="00301a1a"/>
    <w:rPr>
      <w:rFonts w:ascii="Times New Roman" w:hAnsi="Times New Roman" w:eastAsia="Times New Roman" w:cs="Times New Roman"/>
      <w:sz w:val="20"/>
      <w:szCs w:val="20"/>
    </w:rPr>
  </w:style>
  <w:style w:type="character" w:styleId="Appleconvertedspace" w:customStyle="1">
    <w:name w:val="apple-converted-space"/>
    <w:basedOn w:val="DefaultParagraphFont"/>
    <w:qFormat/>
    <w:rsid w:val="001f2ea5"/>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alloonText">
    <w:name w:val="Balloon Text"/>
    <w:basedOn w:val="Normal"/>
    <w:link w:val="BalloonTextChar"/>
    <w:uiPriority w:val="99"/>
    <w:semiHidden/>
    <w:unhideWhenUsed/>
    <w:qFormat/>
    <w:rsid w:val="00136bcf"/>
    <w:pPr/>
    <w:rPr>
      <w:rFonts w:ascii="Tahoma" w:hAnsi="Tahoma" w:cs="Tahoma"/>
      <w:sz w:val="16"/>
      <w:szCs w:val="16"/>
    </w:rPr>
  </w:style>
  <w:style w:type="paragraph" w:styleId="Annotationtext">
    <w:name w:val="annotation text"/>
    <w:basedOn w:val="Normal"/>
    <w:link w:val="CommentTextChar"/>
    <w:uiPriority w:val="99"/>
    <w:semiHidden/>
    <w:unhideWhenUsed/>
    <w:qFormat/>
    <w:rsid w:val="0050406e"/>
    <w:pPr/>
    <w:rPr/>
  </w:style>
  <w:style w:type="paragraph" w:styleId="Annotationsubject">
    <w:name w:val="annotation subject"/>
    <w:basedOn w:val="Annotationtext"/>
    <w:link w:val="CommentSubjectChar"/>
    <w:uiPriority w:val="99"/>
    <w:semiHidden/>
    <w:unhideWhenUsed/>
    <w:qFormat/>
    <w:rsid w:val="0050406e"/>
    <w:pPr/>
    <w:rPr>
      <w:b/>
      <w:bCs/>
    </w:rPr>
  </w:style>
  <w:style w:type="paragraph" w:styleId="Header">
    <w:name w:val="Header"/>
    <w:basedOn w:val="Normal"/>
    <w:link w:val="HeaderChar"/>
    <w:uiPriority w:val="99"/>
    <w:unhideWhenUsed/>
    <w:rsid w:val="00301a1a"/>
    <w:pPr>
      <w:tabs>
        <w:tab w:val="center" w:pos="4680" w:leader="none"/>
        <w:tab w:val="right" w:pos="9360" w:leader="none"/>
      </w:tabs>
    </w:pPr>
    <w:rPr/>
  </w:style>
  <w:style w:type="paragraph" w:styleId="Footer">
    <w:name w:val="Footer"/>
    <w:basedOn w:val="Normal"/>
    <w:link w:val="FooterChar"/>
    <w:uiPriority w:val="99"/>
    <w:unhideWhenUsed/>
    <w:rsid w:val="00301a1a"/>
    <w:pPr>
      <w:tabs>
        <w:tab w:val="center" w:pos="4680" w:leader="none"/>
        <w:tab w:val="right" w:pos="9360" w:leader="none"/>
      </w:tabs>
    </w:pPr>
    <w:rPr/>
  </w:style>
  <w:style w:type="paragraph" w:styleId="Normal1" w:customStyle="1">
    <w:name w:val="Normal1"/>
    <w:basedOn w:val="Normal"/>
    <w:qFormat/>
    <w:rsid w:val="001f2ea5"/>
    <w:pPr>
      <w:spacing w:beforeAutospacing="1" w:afterAutospacing="1"/>
      <w:jc w:val="left"/>
    </w:pPr>
    <w:rPr>
      <w:sz w:val="24"/>
      <w:szCs w:val="24"/>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LibreOffice/6.0.6.2$Windows_X86_64 LibreOffice_project/0c292870b25a325b5ed35f6b45599d2ea4458e77</Application>
  <Pages>3</Pages>
  <Words>876</Words>
  <Characters>5322</Characters>
  <CharactersWithSpaces>6534</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2019-12-23T10:43:00Z</dcterms:created>
  <dc:creator>Nikoleta Brkovic Predojevic</dc:creator>
  <dc:description/>
  <dc:language>en-US</dc:language>
  <cp:lastModifiedBy/>
  <cp:lastPrinted>2020-11-02T10:26:00Z</cp:lastPrinted>
  <dcterms:modified xsi:type="dcterms:W3CDTF">2020-11-02T10:27:55Z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