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120"/>
        <w:rPr>
          <w:rFonts w:ascii="Times New Roman" w:hAnsi="Times New Roman" w:cs="Times New Roman"/>
          <w:sz w:val="24"/>
          <w:szCs w:val="24"/>
          <w:lang w:val="sr-Latn-CS"/>
        </w:rPr>
      </w:pPr>
      <w:bookmarkStart w:id="0" w:name="_GoBack"/>
      <w:bookmarkStart w:id="1" w:name="_GoBack"/>
      <w:bookmarkEnd w:id="1"/>
      <w:r>
        <w:rPr>
          <w:rFonts w:cs="Times New Roman" w:ascii="Times New Roman" w:hAnsi="Times New Roman"/>
          <w:sz w:val="24"/>
          <w:szCs w:val="24"/>
          <w:lang w:val="sr-Latn-CS"/>
        </w:rPr>
      </w:r>
    </w:p>
    <w:tbl>
      <w:tblPr>
        <w:tblW w:w="9622" w:type="dxa"/>
        <w:jc w:val="left"/>
        <w:tblInd w:w="-99" w:type="dxa"/>
        <w:tblBorders/>
        <w:tblCellMar>
          <w:top w:w="0" w:type="dxa"/>
          <w:left w:w="10" w:type="dxa"/>
          <w:bottom w:w="0" w:type="dxa"/>
          <w:right w:w="10" w:type="dxa"/>
        </w:tblCellMar>
        <w:tblLook w:firstRow="0" w:noVBand="0" w:lastRow="0" w:firstColumn="0" w:lastColumn="0" w:noHBand="0" w:val="0000"/>
      </w:tblPr>
      <w:tblGrid>
        <w:gridCol w:w="737"/>
        <w:gridCol w:w="3502"/>
        <w:gridCol w:w="5383"/>
      </w:tblGrid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Normal"/>
              <w:tabs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lang w:val="sr-Latn-CS"/>
              </w:rPr>
              <w:t>NABAVKA GRAĐEVINSKOG MATERIJALA</w:t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Normal"/>
              <w:tabs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OBAVEŠTENJE O POKRETANJU NABAVKE – NACIONALNI OTVORENI POSTUPAK</w:t>
            </w:r>
          </w:p>
        </w:tc>
      </w:tr>
      <w:tr>
        <w:trPr>
          <w:trHeight w:val="23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Normal"/>
              <w:tabs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43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Broj publikacije: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RHP-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W4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-01-404-150/2019</w:t>
            </w:r>
          </w:p>
        </w:tc>
      </w:tr>
      <w:tr>
        <w:trPr>
          <w:trHeight w:val="28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</w:r>
          </w:p>
        </w:tc>
      </w:tr>
      <w:tr>
        <w:trPr>
          <w:trHeight w:val="288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Program i finansiranje: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tabs>
                <w:tab w:val="left" w:pos="459" w:leader="none"/>
              </w:tabs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  <w:t xml:space="preserve">Zajednički regionalni program o trajnim rešenjima za izbeglice i raseljena lica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(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en-US"/>
              </w:rPr>
              <w:t xml:space="preserve">Regional Housing Programme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–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en-US"/>
              </w:rPr>
              <w:t>RHP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/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  <w:t>Program stambenog zbrinjavanja u Republici Srbiji)</w:t>
            </w:r>
          </w:p>
          <w:p>
            <w:pPr>
              <w:pStyle w:val="Normal"/>
              <w:tabs>
                <w:tab w:val="left" w:pos="459" w:leader="none"/>
              </w:tabs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Okvirni sporazum zaključen između Banke za razvoj Saveta Evrope i Republike Srbije u vezi sa Regionalnim programom stambenog zbrinjavanja, potpisan 25. oktobra 2013. godine i Ugovor o donaciji zaključen između Banke za razvoj Saveta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Evrope i Republike Srbije u vezi sa realizacijom </w:t>
            </w:r>
            <w:r>
              <w:rPr>
                <w:rFonts w:cs="Times New Roman" w:ascii="Times New Roman" w:hAnsi="Times New Roman"/>
                <w:i/>
                <w:color w:val="000000"/>
                <w:sz w:val="24"/>
                <w:szCs w:val="24"/>
                <w:lang w:val="sr-Latn-RS"/>
              </w:rPr>
              <w:t>četvrtog</w:t>
            </w: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 xml:space="preserve">potprojekta  Regionalnog programa stambenog zbrinjavanja, potpisanog </w:t>
            </w:r>
            <w:r>
              <w:rPr>
                <w:rFonts w:cs="Times New Roman" w:ascii="Times New Roman" w:hAnsi="Times New Roman"/>
                <w:i/>
                <w:color w:val="000000"/>
                <w:sz w:val="24"/>
                <w:szCs w:val="24"/>
              </w:rPr>
              <w:t>06. novembra 2014. godine</w:t>
            </w:r>
            <w:r>
              <w:rPr>
                <w:rFonts w:cs="Times New Roman" w:ascii="Times New Roman" w:hAnsi="Times New Roman"/>
                <w:i/>
                <w:color w:val="000000"/>
                <w:sz w:val="24"/>
                <w:szCs w:val="24"/>
                <w:lang w:val="sr-Latn-RS"/>
              </w:rPr>
              <w:t>.</w:t>
            </w:r>
          </w:p>
        </w:tc>
      </w:tr>
      <w:tr>
        <w:trPr>
          <w:trHeight w:val="23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424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Ime Naručioca: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RS"/>
              </w:rPr>
              <w:t>Opština Beočin</w:t>
            </w:r>
          </w:p>
        </w:tc>
      </w:tr>
      <w:tr>
        <w:trPr>
          <w:trHeight w:val="23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</w:tr>
      <w:tr>
        <w:trPr>
          <w:trHeight w:val="363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Adresa Naručioca: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RS"/>
              </w:rPr>
              <w:t>Svetosavska 25, 21300 Beočin</w:t>
            </w:r>
          </w:p>
        </w:tc>
      </w:tr>
      <w:tr>
        <w:trPr>
          <w:trHeight w:val="188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</w:tr>
      <w:tr>
        <w:trPr>
          <w:trHeight w:val="507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Internet adresa Naručioca: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hyperlink r:id="rId2">
              <w:r>
                <w:rPr>
                  <w:rStyle w:val="InternetLink"/>
                  <w:rFonts w:cs="Times New Roman" w:ascii="Times New Roman" w:hAnsi="Times New Roman"/>
                  <w:b/>
                  <w:sz w:val="24"/>
                  <w:szCs w:val="24"/>
                  <w:lang w:val="sr-Latn-RS"/>
                </w:rPr>
                <w:t>www.beocin.rs</w:t>
              </w:r>
            </w:hyperlink>
          </w:p>
        </w:tc>
      </w:tr>
      <w:tr>
        <w:trPr>
          <w:trHeight w:val="13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MediumGrid1Accent21"/>
              <w:snapToGrid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</w:tr>
      <w:tr>
        <w:trPr>
          <w:trHeight w:val="614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Tip javne nabavke: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tabs>
                <w:tab w:val="left" w:pos="360" w:leader="none"/>
              </w:tabs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Nacionalni otvoreni postupa</w:t>
            </w: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  <w:lang w:val="sr-Latn-CS" w:eastAsia="en-GB"/>
              </w:rPr>
              <w:t>k</w:t>
            </w:r>
          </w:p>
        </w:tc>
      </w:tr>
      <w:tr>
        <w:trPr>
          <w:trHeight w:val="216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  <w:lang w:val="sr-Latn-CS" w:eastAsia="en-GB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MediumGrid1Accent21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A"/>
                <w:sz w:val="24"/>
                <w:szCs w:val="24"/>
                <w:lang w:val="sr-Latn-CS" w:eastAsia="en-GB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24"/>
                <w:szCs w:val="24"/>
                <w:lang w:val="sr-Latn-CS" w:eastAsia="en-GB"/>
              </w:rPr>
            </w:r>
          </w:p>
        </w:tc>
      </w:tr>
      <w:tr>
        <w:trPr>
          <w:trHeight w:val="614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Tip ugovora: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tabs>
                <w:tab w:val="left" w:pos="295" w:leader="none"/>
              </w:tabs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Ugovor o nabavci dobara</w:t>
            </w:r>
          </w:p>
        </w:tc>
      </w:tr>
      <w:tr>
        <w:trPr>
          <w:trHeight w:val="216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MediumGrid1Accent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Nabavka građevinskog materijala, šifra iz ORN: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sr-Latn-CS"/>
              </w:rPr>
              <w:t>44110000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.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U sporazumu o implementaciji programa o stambenom zbrinjavanju u Srbiji, obezbeđenje paketa građevinskog materijala predviđen je kao jedan od modaliteta (B: Građevinski materijal) koji će biti sproveden u više implementacionih faza. 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Pomenuti modalitet stambenog zbrinjavanja definisan je kao pružanje podrške integraciji izbeglih lica koja su već započela izgradnju kuća ili koja poseduju neuslovnu kuću pogodnu za adaptaciju, obezbeđivanjem paketa građevinskog materijala. 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Obim ovog projekta podrazumeva isporuku 5 paketa građevinskog materijala korisnicima, na lokacijama datim u Aneksu 2: Struktura količina za materijal ovog tenderskog dosijea.</w:t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698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Vrednost blanko solo menice za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val="sr-Latn-CS"/>
              </w:rPr>
              <w:t>ozbiljnost ponude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96,921.52 RSD bez PDV-a</w:t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Procenjena vrednost nabavke iznosi</w:t>
            </w:r>
          </w:p>
        </w:tc>
      </w:tr>
      <w:tr>
        <w:trPr>
          <w:trHeight w:val="41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3,230,717.31 RSD bez PDV-a</w:t>
            </w:r>
          </w:p>
        </w:tc>
      </w:tr>
      <w:tr>
        <w:trPr>
          <w:trHeight w:val="226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Shading1Accent11"/>
              <w:snapToGrid w:val="false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MediumShading1Accent11"/>
              <w:snapToGrid w:val="false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40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Kriterijumi kvalifikacije:</w:t>
            </w:r>
          </w:p>
        </w:tc>
      </w:tr>
      <w:tr>
        <w:trPr>
          <w:trHeight w:val="172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Pravo učešća imaju sva zainteresovana lica koja nastupaju pojedinačno ili u grupi, a koja ispunjavaju kriterijume za učešće definisane u delu tenderske dokumenacije: Uputstvo za ponuđače, Odeljak 3:Pravo učešća, kao i uslove definisane u  Vodiču za nabavku dobara, radova i usluga Banke za razvoj saveta Evrope; Odeljak 3.3: Podobnost za učestvovanje u postupku i obezbeđivanje dobara, radova i usluga.</w:t>
            </w:r>
          </w:p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  <w:u w:val="single"/>
                <w:lang w:val="sr-Latn-CS"/>
              </w:rPr>
              <w:t>http://www.coebank.org/documents/107/Procurement_Guidelines_LJhjgEt.pdf</w:t>
            </w:r>
          </w:p>
        </w:tc>
      </w:tr>
      <w:tr>
        <w:trPr>
          <w:trHeight w:val="236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Shading1Accent11"/>
              <w:snapToGrid w:val="false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sr-Latn-CS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  <w:u w:val="single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MediumShading1Accent11"/>
              <w:snapToGrid w:val="false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sr-Latn-CS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  <w:u w:val="single"/>
                <w:lang w:val="sr-Latn-CS"/>
              </w:rPr>
            </w:r>
          </w:p>
        </w:tc>
      </w:tr>
      <w:tr>
        <w:trPr>
          <w:trHeight w:val="745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pacing w:lineRule="auto" w:line="240" w:before="120" w:after="120"/>
              <w:ind w:left="57" w:right="12" w:hanging="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Kriterijumi izbora:</w:t>
            </w:r>
          </w:p>
        </w:tc>
      </w:tr>
      <w:tr>
        <w:trPr>
          <w:trHeight w:val="172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Ponuđači su u obavezi da ispune dole navedene uslove. U slučaju podnošenja ponude u grupi, ovi selekcioni uslovi odnosiće se na grupu ponuđača u celosti. 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1. Finansijski kapacitet ponuđača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: U slučaju da je ponuđač pravno lice,  informacije koje mora da dokaže:</w:t>
            </w:r>
          </w:p>
          <w:p>
            <w:pPr>
              <w:pStyle w:val="MediumGrid1Accent21"/>
              <w:numPr>
                <w:ilvl w:val="0"/>
                <w:numId w:val="2"/>
              </w:numPr>
              <w:tabs>
                <w:tab w:val="left" w:pos="398" w:leader="none"/>
              </w:tabs>
              <w:spacing w:lineRule="auto" w:line="240" w:before="120" w:after="120"/>
              <w:ind w:left="398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Da ponuđač nije imao registrovane blokade računa u poslednjih dvanaest (12) meseci do dana objavljivanja  javnog poziva za podnošenje ponuda. </w:t>
            </w:r>
          </w:p>
          <w:p>
            <w:pPr>
              <w:pStyle w:val="Normal"/>
              <w:spacing w:lineRule="auto" w:line="240" w:before="120" w:after="120"/>
              <w:ind w:left="398" w:hanging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Ova odredba odnosi se na sve ponuđače iz grupe ponuđača i podizvođače.</w:t>
            </w:r>
          </w:p>
          <w:p>
            <w:pPr>
              <w:pStyle w:val="MediumGrid1Accent21"/>
              <w:numPr>
                <w:ilvl w:val="0"/>
                <w:numId w:val="2"/>
              </w:numPr>
              <w:tabs>
                <w:tab w:val="left" w:pos="398" w:leader="none"/>
              </w:tabs>
              <w:spacing w:lineRule="auto" w:line="240" w:before="120" w:after="120"/>
              <w:ind w:left="398" w:hanging="36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Da nad ponuđačem nije pokrenut postupak stečaja ili likvidacije, odnosno prethodni stečajni postupak.</w:t>
            </w:r>
          </w:p>
          <w:p>
            <w:pPr>
              <w:pStyle w:val="MediumGrid1Accent21"/>
              <w:spacing w:lineRule="auto" w:line="240" w:before="120" w:after="120"/>
              <w:ind w:left="398" w:hanging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Ova odredba se odnosi na sve ponuđače iz grupe ponuđača i podizvođače.</w:t>
            </w:r>
          </w:p>
          <w:p>
            <w:pPr>
              <w:pStyle w:val="MediumGrid1Accent21"/>
              <w:numPr>
                <w:ilvl w:val="0"/>
                <w:numId w:val="2"/>
              </w:numPr>
              <w:tabs>
                <w:tab w:val="left" w:pos="398" w:leader="none"/>
              </w:tabs>
              <w:spacing w:lineRule="auto" w:line="240" w:before="120" w:after="120"/>
              <w:ind w:left="398" w:hanging="36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Poslovni prihod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: Ponuđač mora da poseduje prosečan poslovni prihod, tokom prethodne tri godine (2015, 2016 i 2017), koji iznosi 1,5 procenjene vrednosti nabavke. (Najmanje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4,846,075.97 RSD bez PDV-a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)</w:t>
            </w:r>
          </w:p>
          <w:p>
            <w:pPr>
              <w:pStyle w:val="MediumShading1Accent11"/>
              <w:spacing w:lineRule="auto" w:line="240" w:before="120" w:after="120"/>
              <w:ind w:left="398" w:hanging="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Grupa ponuđača: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 Jedan od članova grupe ponuđača u obavezi je da ispuni ne manje od 50% navedenog uslova. </w:t>
            </w:r>
          </w:p>
          <w:p>
            <w:pPr>
              <w:pStyle w:val="TextBody"/>
              <w:tabs>
                <w:tab w:val="left" w:pos="0" w:leader="none"/>
                <w:tab w:val="left" w:pos="720" w:leader="none"/>
                <w:tab w:val="left" w:pos="1133" w:leader="none"/>
                <w:tab w:val="left" w:pos="1985" w:leader="none"/>
                <w:tab w:val="left" w:pos="2266" w:leader="none"/>
                <w:tab w:val="left" w:pos="2832" w:leader="none"/>
                <w:tab w:val="left" w:pos="3399" w:leader="none"/>
                <w:tab w:val="left" w:pos="3965" w:leader="none"/>
                <w:tab w:val="left" w:pos="4532" w:leader="none"/>
                <w:tab w:val="left" w:pos="5098" w:leader="none"/>
                <w:tab w:val="left" w:pos="5664" w:leader="none"/>
                <w:tab w:val="left" w:pos="6231" w:leader="none"/>
                <w:tab w:val="left" w:pos="6797" w:leader="none"/>
                <w:tab w:val="left" w:pos="7364" w:leader="none"/>
                <w:tab w:val="left" w:pos="7930" w:leader="none"/>
                <w:tab w:val="left" w:pos="8496" w:leader="none"/>
              </w:tabs>
              <w:spacing w:lineRule="auto" w:line="240" w:before="120" w:after="120"/>
              <w:jc w:val="both"/>
              <w:rPr/>
            </w:pPr>
            <w:r>
              <w:rPr>
                <w:b/>
                <w:lang w:val="sr-Latn-CS"/>
              </w:rPr>
              <w:t>2. Tehnički kapacitet ponuđača:</w:t>
            </w:r>
          </w:p>
          <w:p>
            <w:pPr>
              <w:pStyle w:val="MediumGrid1Accent21"/>
              <w:numPr>
                <w:ilvl w:val="0"/>
                <w:numId w:val="3"/>
              </w:numPr>
              <w:tabs>
                <w:tab w:val="left" w:pos="398" w:leader="none"/>
              </w:tabs>
              <w:spacing w:lineRule="auto" w:line="240" w:before="120" w:after="120"/>
              <w:ind w:left="398" w:hanging="36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 xml:space="preserve">Skladišni kapacitet: 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Ponuđač poseduje ili iznajmljuje skladište na teritoriji Republike Srbije.</w:t>
            </w:r>
          </w:p>
          <w:p>
            <w:pPr>
              <w:pStyle w:val="MediumShading1Accent11"/>
              <w:spacing w:lineRule="auto" w:line="240" w:before="120" w:after="120"/>
              <w:ind w:left="398" w:hanging="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 xml:space="preserve">Grupa ponuđača: 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Navedeni uslov potrebno je da ispunjava grupa u celosti (makar jedan član grupe ponuđača). </w:t>
            </w:r>
          </w:p>
          <w:p>
            <w:pPr>
              <w:pStyle w:val="MediumGrid1Accent21"/>
              <w:numPr>
                <w:ilvl w:val="0"/>
                <w:numId w:val="3"/>
              </w:numPr>
              <w:tabs>
                <w:tab w:val="left" w:pos="398" w:leader="none"/>
              </w:tabs>
              <w:spacing w:lineRule="auto" w:line="240" w:before="120" w:after="120"/>
              <w:ind w:left="398" w:hanging="36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 xml:space="preserve">Transportni kapacitet: 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Najmanje jedan kamion sa rukom za utovar od 2 t i najmanje jedan viljuškar, u vlasništvu ili iznajmljen.</w:t>
            </w:r>
          </w:p>
          <w:p>
            <w:pPr>
              <w:pStyle w:val="MediumShading1Accent11"/>
              <w:spacing w:lineRule="auto" w:line="240" w:before="120" w:after="120"/>
              <w:ind w:left="398" w:hanging="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 xml:space="preserve">Grupa ponuđača: 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Navedeni uslov potrebno je da ispunjava grupa u celosti (makar jedan član grupe ponuđača). </w:t>
            </w:r>
          </w:p>
          <w:p>
            <w:pPr>
              <w:pStyle w:val="MediumGrid1Accent21"/>
              <w:numPr>
                <w:ilvl w:val="0"/>
                <w:numId w:val="3"/>
              </w:numPr>
              <w:tabs>
                <w:tab w:val="left" w:pos="398" w:leader="none"/>
              </w:tabs>
              <w:spacing w:lineRule="auto" w:line="240" w:before="120" w:after="120"/>
              <w:ind w:left="398" w:hanging="36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ISO 9001:2015</w:t>
            </w:r>
          </w:p>
          <w:p>
            <w:pPr>
              <w:pStyle w:val="MediumShading1Accent11"/>
              <w:spacing w:lineRule="auto" w:line="240" w:before="120" w:after="120"/>
              <w:ind w:left="398" w:hanging="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 xml:space="preserve">Grupa ponuđača: 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Navedeni uslov potrebno je da ispunjava grupa u celosti (makar jedan član grupe ponuđača).</w:t>
            </w:r>
          </w:p>
        </w:tc>
      </w:tr>
      <w:tr>
        <w:trPr>
          <w:trHeight w:val="226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46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Kriterijum dodele ugovora</w:t>
            </w:r>
          </w:p>
        </w:tc>
      </w:tr>
      <w:tr>
        <w:trPr>
          <w:trHeight w:val="1138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Najniža ponuđena cena</w:t>
            </w:r>
          </w:p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U slučaju dve ponude sa najnižom ponuđenom cenom, najpovoljnijom ponudom će se smatrati ponuda sa dužim rokom važenja ponude.</w:t>
            </w:r>
          </w:p>
        </w:tc>
      </w:tr>
      <w:tr>
        <w:trPr>
          <w:trHeight w:val="236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745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Pristup tenderskoj dokumentaciji, internet adresa sa koje se mogu preuzeti tenderska dokumenta: 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hyperlink r:id="rId3">
              <w:r>
                <w:rPr>
                  <w:rStyle w:val="InternetLink"/>
                  <w:rFonts w:cs="Times New Roman" w:ascii="Times New Roman" w:hAnsi="Times New Roman"/>
                  <w:sz w:val="24"/>
                  <w:szCs w:val="24"/>
                  <w:lang w:val="sr-Latn-CS"/>
                </w:rPr>
                <w:t>http://portal.ujn.gov.rs</w:t>
              </w:r>
            </w:hyperlink>
          </w:p>
          <w:p>
            <w:pPr>
              <w:pStyle w:val="Normal"/>
              <w:spacing w:lineRule="auto" w:line="240" w:before="120" w:after="120"/>
              <w:rPr/>
            </w:pPr>
            <w:hyperlink r:id="rId4">
              <w:r>
                <w:rPr>
                  <w:rStyle w:val="InternetLink"/>
                  <w:rFonts w:cs="Times New Roman" w:ascii="Times New Roman" w:hAnsi="Times New Roman"/>
                  <w:b/>
                  <w:sz w:val="24"/>
                  <w:szCs w:val="24"/>
                  <w:lang w:val="sr-Latn-RS"/>
                </w:rPr>
                <w:t>www.beocin.rs</w:t>
              </w:r>
            </w:hyperlink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</w:r>
          </w:p>
        </w:tc>
      </w:tr>
      <w:tr>
        <w:trPr>
          <w:trHeight w:val="745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Podnošenje ponuda, rok za podnošenje ponuda: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Ponuda bi trebalo podneti kao preporučeno pismo sa povratnicom, ili u slučaju ličnog dostavljanja sa predatom potvrdom o prijemu ponude. 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Ponuda se mora podneti na sledeću adresu: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RS"/>
              </w:rPr>
              <w:t>Opština Beočin, Svetosavska 25, 21300 Beočin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Ukoliko se ponuda dostavlja lično, adresa za dostavljanje je: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RS"/>
              </w:rPr>
              <w:t>Opština Beočin, Svetosavska 25, 21300 Beočin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u periodu od 09:00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do 15:30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Krajnji rok za dostavljanje ponuda je: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  <w:t>0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en-US"/>
              </w:rPr>
              <w:t>3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RS"/>
              </w:rPr>
              <w:t>/0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RS"/>
              </w:rPr>
              <w:t>7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RS"/>
              </w:rPr>
              <w:t>/2019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  <w:t xml:space="preserve"> godine, do 12:00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en-US"/>
              </w:rPr>
              <w:t>h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>
        <w:trPr>
          <w:trHeight w:val="218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699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Sastanak za otvaranje ponuda – datum, vreme i mesto: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Otvaranje ponuda održaće 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  <w:t>se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  <w:lang w:val="sr-Latn-CS"/>
              </w:rPr>
              <w:t xml:space="preserve">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CS"/>
              </w:rPr>
              <w:t>0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CS"/>
              </w:rPr>
              <w:t>3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RS"/>
              </w:rPr>
              <w:t>/0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RS"/>
              </w:rPr>
              <w:t>7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RS"/>
              </w:rPr>
              <w:t>/2019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  <w:lang w:val="sr-Latn-CS"/>
              </w:rPr>
              <w:t xml:space="preserve"> u 12:30 h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,</w:t>
            </w: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 xml:space="preserve"> u prostorijama </w:t>
            </w:r>
            <w:r>
              <w:rPr>
                <w:rFonts w:cs="Times New Roman" w:ascii="Times New Roman" w:hAnsi="Times New Roman"/>
                <w:b/>
                <w:sz w:val="24"/>
                <w:szCs w:val="24"/>
                <w:lang w:val="sr-Latn-CS"/>
              </w:rPr>
              <w:t>Opština Beočin, Svetosavska 25, 21300 Beočin</w:t>
            </w:r>
          </w:p>
        </w:tc>
      </w:tr>
      <w:tr>
        <w:trPr>
          <w:trHeight w:val="23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452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Uslovi za učešće na sastanku za otvaranje ponuda:</w:t>
            </w:r>
          </w:p>
        </w:tc>
      </w:tr>
      <w:tr>
        <w:trPr>
          <w:trHeight w:val="1450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Naručilac će ponude otvarati javno i otvaranju može prisustvovati svako zainteresovano lice, u vreme i na mestu određenom u ovom Obaveštenju  i u Uputstvu ponuđačima.  U postupku otvaranja ponuda mogu aktivno učestvovati samo ovlašćeni predstavnici ponuđača, u kom slučaju su u obavezi su da dostave ovlašćenje za prisustvovanje i potpisivanje, kao i da potpišu dokument kojim potvrđuju svoje prisustvo.</w:t>
            </w:r>
          </w:p>
        </w:tc>
      </w:tr>
      <w:tr>
        <w:trPr>
          <w:trHeight w:val="238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699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Rok za donošenje odluke o dodeli ugovora: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Najkasnije 30 dana od isteka roka za podnošenje ponuda</w:t>
            </w:r>
          </w:p>
        </w:tc>
      </w:tr>
      <w:tr>
        <w:trPr>
          <w:trHeight w:val="238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</w:tr>
      <w:tr>
        <w:trPr>
          <w:trHeight w:val="699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3502" w:type="dxa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Kontakt:</w:t>
            </w:r>
          </w:p>
        </w:tc>
        <w:tc>
          <w:tcPr>
            <w:tcW w:w="5383" w:type="dxa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lang w:val="sr-Latn-CS"/>
              </w:rPr>
              <w:t>nabavke</w:t>
            </w:r>
            <w:r>
              <w:rPr>
                <w:rFonts w:cs="Times New Roman" w:ascii="Times New Roman" w:hAnsi="Times New Roman"/>
                <w:i/>
                <w:sz w:val="24"/>
                <w:szCs w:val="24"/>
                <w:lang w:val="en-US"/>
              </w:rPr>
              <w:t>@beocin.rs</w:t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0" w:after="0"/>
              <w:ind w:left="282" w:right="12" w:hanging="225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  <w:lang w:val="sr-Latn-CS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  <w:lang w:val="sr-Latn-CS"/>
              </w:rPr>
            </w:r>
          </w:p>
        </w:tc>
      </w:tr>
      <w:tr>
        <w:trPr/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numPr>
                <w:ilvl w:val="0"/>
                <w:numId w:val="1"/>
              </w:numPr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FFFFFF" w:val="clear"/>
          </w:tcPr>
          <w:p>
            <w:pPr>
              <w:pStyle w:val="Normal"/>
              <w:spacing w:lineRule="auto" w:line="240" w:before="120" w:after="120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Ostale informacije:</w:t>
            </w:r>
          </w:p>
        </w:tc>
      </w:tr>
      <w:tr>
        <w:trPr>
          <w:trHeight w:val="1371" w:hRule="atLeast"/>
        </w:trPr>
        <w:tc>
          <w:tcPr>
            <w:tcW w:w="737" w:type="dxa"/>
            <w:tcBorders/>
            <w:shd w:color="auto" w:fill="FFFFFF" w:val="clear"/>
          </w:tcPr>
          <w:p>
            <w:pPr>
              <w:pStyle w:val="MediumGrid1Accent21"/>
              <w:tabs>
                <w:tab w:val="left" w:pos="720" w:leader="none"/>
                <w:tab w:val="left" w:pos="846" w:leader="none"/>
                <w:tab w:val="left" w:pos="1002" w:leader="none"/>
                <w:tab w:val="left" w:pos="1284" w:leader="none"/>
              </w:tabs>
              <w:snapToGrid w:val="false"/>
              <w:spacing w:lineRule="auto" w:line="240" w:before="120" w:after="120"/>
              <w:ind w:left="282" w:right="12" w:hanging="225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</w:r>
          </w:p>
        </w:tc>
        <w:tc>
          <w:tcPr>
            <w:tcW w:w="8885" w:type="dxa"/>
            <w:gridSpan w:val="2"/>
            <w:tcBorders/>
            <w:shd w:color="auto" w:fill="C6D9F1" w:val="clear"/>
          </w:tcPr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sr-Latn-CS"/>
              </w:rPr>
              <w:t>Nabavke dobara, radova i usluga finansiranih od strane programa stambenog zbrinjavanja u Republici Srbiji, pripremljena su, dodeljena i organizovana u saradnji sa partnerskim zemljama i CEB Priručnikom za dobra, radove i usluge, objavljenom na vebsajtu:</w:t>
            </w:r>
          </w:p>
          <w:p>
            <w:pPr>
              <w:pStyle w:val="Normal"/>
              <w:spacing w:lineRule="auto" w:line="240" w:before="120" w:after="120"/>
              <w:jc w:val="both"/>
              <w:rPr/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  <w:u w:val="single"/>
                <w:lang w:val="sr-Latn-CS"/>
              </w:rPr>
              <w:t>http://www.coebank.org/documents/107/Procurement_Guidelines_LJhjgEt.pdf</w:t>
            </w:r>
          </w:p>
        </w:tc>
      </w:tr>
    </w:tbl>
    <w:p>
      <w:pPr>
        <w:pStyle w:val="Normal"/>
        <w:spacing w:lineRule="auto" w:line="240" w:before="120" w:after="120"/>
        <w:rPr/>
      </w:pPr>
      <w:r>
        <w:rPr/>
      </w:r>
    </w:p>
    <w:sectPr>
      <w:footerReference w:type="default" r:id="rId5"/>
      <w:type w:val="nextPage"/>
      <w:pgSz w:w="12240" w:h="15840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Roboto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288" w:type="dxa"/>
      <w:jc w:val="left"/>
      <w:tblInd w:w="0" w:type="dxa"/>
      <w:tblBorders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4773"/>
      <w:gridCol w:w="4514"/>
    </w:tblGrid>
    <w:tr>
      <w:trPr/>
      <w:tc>
        <w:tcPr>
          <w:tcW w:w="4773" w:type="dxa"/>
          <w:tcBorders/>
          <w:shd w:color="auto" w:fill="auto" w:val="clear"/>
        </w:tcPr>
        <w:p>
          <w:pPr>
            <w:pStyle w:val="Footer"/>
            <w:tabs>
              <w:tab w:val="left" w:pos="720" w:leader="none"/>
              <w:tab w:val="center" w:pos="4111" w:leader="none"/>
            </w:tabs>
            <w:snapToGrid w:val="false"/>
            <w:rPr/>
          </w:pPr>
          <w:r>
            <w:rPr>
              <w:rFonts w:cs="Roboto" w:ascii="Roboto" w:hAnsi="Roboto"/>
              <w:lang w:val="sr-Latn-CS" w:eastAsia="en-US"/>
            </w:rPr>
            <w:t>2019 – Regionalni stambeni program</w:t>
          </w:r>
        </w:p>
      </w:tc>
      <w:tc>
        <w:tcPr>
          <w:tcW w:w="4514" w:type="dxa"/>
          <w:tcBorders/>
          <w:shd w:color="auto" w:fill="auto" w:val="clear"/>
        </w:tcPr>
        <w:p>
          <w:pPr>
            <w:pStyle w:val="Footer"/>
            <w:tabs>
              <w:tab w:val="left" w:pos="720" w:leader="none"/>
              <w:tab w:val="center" w:pos="4111" w:leader="none"/>
            </w:tabs>
            <w:jc w:val="right"/>
            <w:rPr/>
          </w:pPr>
          <w:r>
            <w:rPr>
              <w:rFonts w:cs="Roboto" w:ascii="Roboto" w:hAnsi="Roboto"/>
              <w:lang w:val="sr-Latn-CS" w:eastAsia="en-US"/>
            </w:rPr>
            <w:t xml:space="preserve">Strana </w:t>
          </w:r>
          <w:r>
            <w:rPr>
              <w:rFonts w:cs="Calibri" w:ascii="Roboto" w:hAnsi="Roboto"/>
              <w:lang w:val="sr-Latn-CS" w:eastAsia="en-US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4</w:t>
          </w:r>
          <w:r>
            <w:fldChar w:fldCharType="end"/>
          </w:r>
        </w:p>
      </w:tc>
    </w:tr>
  </w:tbl>
  <w:p>
    <w:pPr>
      <w:pStyle w:val="Footer"/>
      <w:rPr>
        <w:lang w:val="sr-Latn-CS"/>
      </w:rPr>
    </w:pPr>
    <w:r>
      <w:rPr>
        <w:lang w:val="sr-Latn-CS"/>
      </w:rPr>
    </w:r>
  </w:p>
  <w:p>
    <w:pPr>
      <w:pStyle w:val="Footer"/>
      <w:rPr>
        <w:lang w:val="sr-Latn-CS"/>
      </w:rPr>
    </w:pPr>
    <w:r>
      <w:rPr>
        <w:lang w:val="sr-Latn-CS"/>
      </w:rPr>
    </w:r>
  </w:p>
  <w:p>
    <w:pPr>
      <w:pStyle w:val="Footer"/>
      <w:rPr>
        <w:lang w:val="sr-Latn-CS"/>
      </w:rPr>
    </w:pPr>
    <w:r>
      <w:rPr>
        <w:lang w:val="sr-Latn-CS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  <w:rFonts w:cs="Times New Roman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lang w:val="sr-Latn-C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tabs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WenQuanYi Micro Hei" w:cs="Calibri"/>
      <w:color w:val="00000A"/>
      <w:sz w:val="22"/>
      <w:szCs w:val="22"/>
      <w:lang w:val="sr-CS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 w:cs="Times New Roman"/>
      <w:sz w:val="24"/>
      <w:szCs w:val="24"/>
      <w:lang w:val="sr-Latn-CS"/>
    </w:rPr>
  </w:style>
  <w:style w:type="character" w:styleId="WW8Num3z0" w:customStyle="1">
    <w:name w:val="WW8Num3z0"/>
    <w:qFormat/>
    <w:rPr>
      <w:rFonts w:cs="Times New Roman"/>
      <w:lang w:val="sr-Latn-CS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/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>
      <w:rFonts w:ascii="Roboto" w:hAnsi="Roboto" w:eastAsia="WenQuanYi Micro Hei" w:cs="Calibri"/>
    </w:rPr>
  </w:style>
  <w:style w:type="character" w:styleId="WW8Num9z1" w:customStyle="1">
    <w:name w:val="WW8Num9z1"/>
    <w:qFormat/>
    <w:rPr>
      <w:rFonts w:ascii="Courier New" w:hAnsi="Courier New" w:cs="Courier New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9z3" w:customStyle="1">
    <w:name w:val="WW8Num9z3"/>
    <w:qFormat/>
    <w:rPr>
      <w:rFonts w:ascii="Symbol" w:hAnsi="Symbol" w:cs="Symbol"/>
    </w:rPr>
  </w:style>
  <w:style w:type="character" w:styleId="WW8Num10z0" w:customStyle="1">
    <w:name w:val="WW8Num10z0"/>
    <w:qFormat/>
    <w:rPr>
      <w:rFonts w:ascii="Times New Roman" w:hAnsi="Times New Roman" w:cs="Times New Roman"/>
      <w:sz w:val="24"/>
      <w:szCs w:val="24"/>
      <w:lang w:val="sr-Latn-CS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0" w:customStyle="1">
    <w:name w:val="WW8Num11z0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0" w:customStyle="1">
    <w:name w:val="WW8Num12z0"/>
    <w:qFormat/>
    <w:rPr/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0" w:customStyle="1">
    <w:name w:val="WW8Num13z0"/>
    <w:qFormat/>
    <w:rPr>
      <w:rFonts w:cs="Times New Roman"/>
      <w:lang w:val="sr-Latn-CS"/>
    </w:rPr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/>
  </w:style>
  <w:style w:type="character" w:styleId="WW8Num13z3" w:customStyle="1">
    <w:name w:val="WW8Num13z3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4z0" w:customStyle="1">
    <w:name w:val="WW8Num14z0"/>
    <w:qFormat/>
    <w:rPr>
      <w:b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5z0" w:customStyle="1">
    <w:name w:val="WW8Num15z0"/>
    <w:qFormat/>
    <w:rPr>
      <w:rFonts w:ascii="Times New Roman" w:hAnsi="Times New Roman" w:cs="Times New Roman"/>
      <w:b/>
    </w:rPr>
  </w:style>
  <w:style w:type="character" w:styleId="WW8Num15z1" w:customStyle="1">
    <w:name w:val="WW8Num15z1"/>
    <w:qFormat/>
    <w:rPr/>
  </w:style>
  <w:style w:type="character" w:styleId="WW8Num16z0" w:customStyle="1">
    <w:name w:val="WW8Num16z0"/>
    <w:qFormat/>
    <w:rPr/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0" w:customStyle="1">
    <w:name w:val="WW8Num17z0"/>
    <w:qFormat/>
    <w:rPr/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HeaderChar" w:customStyle="1">
    <w:name w:val="Header Char"/>
    <w:qFormat/>
    <w:rPr>
      <w:rFonts w:ascii="Calibri" w:hAnsi="Calibri" w:eastAsia="WenQuanYi Micro Hei" w:cs="Calibri"/>
      <w:color w:val="00000A"/>
    </w:rPr>
  </w:style>
  <w:style w:type="character" w:styleId="FooterChar" w:customStyle="1">
    <w:name w:val="Footer Char"/>
    <w:qFormat/>
    <w:rPr>
      <w:rFonts w:ascii="Calibri" w:hAnsi="Calibri" w:eastAsia="WenQuanYi Micro Hei" w:cs="Calibri"/>
      <w:color w:val="00000A"/>
    </w:rPr>
  </w:style>
  <w:style w:type="character" w:styleId="InternetLink">
    <w:name w:val="Internet Link"/>
    <w:rPr>
      <w:color w:val="0000FF"/>
      <w:u w:val="single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CommentTextChar" w:customStyle="1">
    <w:name w:val="Comment Text Char"/>
    <w:qFormat/>
    <w:rPr>
      <w:rFonts w:ascii="Calibri" w:hAnsi="Calibri" w:eastAsia="WenQuanYi Micro Hei" w:cs="Calibri"/>
      <w:color w:val="00000A"/>
      <w:sz w:val="20"/>
      <w:szCs w:val="20"/>
      <w:lang w:val="sr-CS"/>
    </w:rPr>
  </w:style>
  <w:style w:type="character" w:styleId="CommentSubjectChar" w:customStyle="1">
    <w:name w:val="Comment Subject Char"/>
    <w:qFormat/>
    <w:rPr>
      <w:rFonts w:ascii="Calibri" w:hAnsi="Calibri" w:eastAsia="WenQuanYi Micro Hei" w:cs="Calibri"/>
      <w:b/>
      <w:bCs/>
      <w:color w:val="00000A"/>
      <w:sz w:val="20"/>
      <w:szCs w:val="20"/>
      <w:lang w:val="sr-CS"/>
    </w:rPr>
  </w:style>
  <w:style w:type="character" w:styleId="BalloonTextChar" w:customStyle="1">
    <w:name w:val="Balloon Text Char"/>
    <w:qFormat/>
    <w:rPr>
      <w:rFonts w:ascii="Tahoma" w:hAnsi="Tahoma" w:eastAsia="WenQuanYi Micro Hei" w:cs="Tahoma"/>
      <w:color w:val="00000A"/>
      <w:sz w:val="16"/>
      <w:szCs w:val="16"/>
      <w:lang w:val="sr-CS"/>
    </w:rPr>
  </w:style>
  <w:style w:type="character" w:styleId="Hps" w:customStyle="1">
    <w:name w:val="hps"/>
    <w:basedOn w:val="DefaultParagraphFont"/>
    <w:qFormat/>
    <w:rPr/>
  </w:style>
  <w:style w:type="character" w:styleId="BodyTextChar" w:customStyle="1">
    <w:name w:val="Body Text Char"/>
    <w:qFormat/>
    <w:rPr>
      <w:rFonts w:ascii="Times New Roman" w:hAnsi="Times New Roman" w:eastAsia="Times New Roman" w:cs="Times New Roman"/>
      <w:sz w:val="24"/>
      <w:szCs w:val="20"/>
      <w:lang w:val="sr-CS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UnresolvedMention" w:customStyle="1">
    <w:name w:val="Unresolved Mention"/>
    <w:qFormat/>
    <w:rPr>
      <w:color w:val="605E5C"/>
      <w:shd w:fill="E1DFDD" w:val="clear"/>
    </w:rPr>
  </w:style>
  <w:style w:type="character" w:styleId="ListLabel1">
    <w:name w:val="ListLabel 1"/>
    <w:qFormat/>
    <w:rPr>
      <w:rFonts w:cs="Times New Roman"/>
      <w:sz w:val="24"/>
      <w:szCs w:val="24"/>
      <w:lang w:val="sr-Latn-CS"/>
    </w:rPr>
  </w:style>
  <w:style w:type="character" w:styleId="ListLabel2">
    <w:name w:val="ListLabel 2"/>
    <w:qFormat/>
    <w:rPr>
      <w:rFonts w:cs="Times New Roman"/>
      <w:lang w:val="sr-Latn-C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TextBody">
    <w:name w:val="Body Text"/>
    <w:basedOn w:val="Normal"/>
    <w:pPr>
      <w:suppressAutoHyphens w:val="false"/>
      <w:spacing w:lineRule="auto" w:line="240" w:before="0" w:after="0"/>
    </w:pPr>
    <w:rPr>
      <w:rFonts w:ascii="Times New Roman" w:hAnsi="Times New Roman" w:eastAsia="Times New Roman" w:cs="Times New Roman"/>
      <w:color w:val="00000A"/>
      <w:sz w:val="24"/>
      <w:szCs w:val="20"/>
    </w:rPr>
  </w:style>
  <w:style w:type="paragraph" w:styleId="List">
    <w:name w:val="List"/>
    <w:pPr>
      <w:widowControl w:val="false"/>
    </w:pPr>
    <w:rPr>
      <w:rFonts w:cs="Lohit Hindi" w:ascii="Times New Roman" w:hAnsi="Times New Roman" w:eastAsia="Times New Roman"/>
      <w:color w:val="auto"/>
      <w:sz w:val="22"/>
      <w:szCs w:val="20"/>
      <w:lang w:val="en-US" w:eastAsia="en-US" w:bidi="ar-S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Lohit Hindi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Textbody1" w:customStyle="1">
    <w:name w:val="Text body"/>
    <w:basedOn w:val="Normal"/>
    <w:qFormat/>
    <w:pPr>
      <w:spacing w:before="0" w:after="120"/>
    </w:pPr>
    <w:rPr/>
  </w:style>
  <w:style w:type="paragraph" w:styleId="MediumGrid1Accent21" w:customStyle="1">
    <w:name w:val="Medium Grid 1 - Accent 21"/>
    <w:basedOn w:val="Normal"/>
    <w:qFormat/>
    <w:pPr>
      <w:ind w:left="720" w:hanging="0"/>
    </w:pPr>
    <w:rPr/>
  </w:style>
  <w:style w:type="paragraph" w:styleId="Header">
    <w:name w:val="Header"/>
    <w:basedOn w:val="Normal"/>
    <w:pPr>
      <w:spacing w:lineRule="auto" w:line="240" w:before="0" w:after="0"/>
    </w:pPr>
    <w:rPr>
      <w:rFonts w:cs="Times New Roman"/>
      <w:sz w:val="20"/>
      <w:szCs w:val="20"/>
      <w:lang w:val="x-none"/>
    </w:rPr>
  </w:style>
  <w:style w:type="paragraph" w:styleId="Footer">
    <w:name w:val="Footer"/>
    <w:basedOn w:val="Normal"/>
    <w:pPr>
      <w:spacing w:lineRule="auto" w:line="240" w:before="0" w:after="0"/>
    </w:pPr>
    <w:rPr>
      <w:rFonts w:cs="Times New Roman"/>
      <w:sz w:val="20"/>
      <w:szCs w:val="20"/>
      <w:lang w:val="x-none"/>
    </w:rPr>
  </w:style>
  <w:style w:type="paragraph" w:styleId="Annotationtext">
    <w:name w:val="annotation text"/>
    <w:basedOn w:val="Normal"/>
    <w:qFormat/>
    <w:pPr>
      <w:spacing w:lineRule="auto" w:line="240"/>
    </w:pPr>
    <w:rPr>
      <w:rFonts w:cs="Times New Roman"/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imes New Roman"/>
      <w:sz w:val="16"/>
      <w:szCs w:val="16"/>
    </w:rPr>
  </w:style>
  <w:style w:type="paragraph" w:styleId="Char2" w:customStyle="1">
    <w:name w:val="Char2"/>
    <w:basedOn w:val="Normal"/>
    <w:qFormat/>
    <w:pPr>
      <w:suppressAutoHyphens w:val="false"/>
      <w:spacing w:lineRule="exact" w:line="240" w:before="0" w:after="160"/>
    </w:pPr>
    <w:rPr>
      <w:rFonts w:ascii="Tahoma" w:hAnsi="Tahoma" w:eastAsia="Times New Roman" w:cs="Times New Roman"/>
      <w:color w:val="00000A"/>
      <w:sz w:val="24"/>
      <w:szCs w:val="24"/>
      <w:lang w:val="en-US"/>
    </w:rPr>
  </w:style>
  <w:style w:type="paragraph" w:styleId="MediumShading1Accent11" w:customStyle="1">
    <w:name w:val="Medium Shading 1 - Accent 11"/>
    <w:qFormat/>
    <w:pPr>
      <w:widowControl/>
      <w:tabs>
        <w:tab w:val="left" w:pos="720" w:leader="none"/>
      </w:tabs>
      <w:suppressAutoHyphens w:val="true"/>
      <w:bidi w:val="0"/>
      <w:jc w:val="left"/>
    </w:pPr>
    <w:rPr>
      <w:rFonts w:ascii="Calibri" w:hAnsi="Calibri" w:eastAsia="WenQuanYi Micro Hei" w:cs="Calibri"/>
      <w:color w:val="00000A"/>
      <w:sz w:val="22"/>
      <w:szCs w:val="22"/>
      <w:lang w:val="sr-CS" w:eastAsia="zh-CN" w:bidi="ar-SA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eocin.rs/" TargetMode="External"/><Relationship Id="rId3" Type="http://schemas.openxmlformats.org/officeDocument/2006/relationships/hyperlink" Target="http://portal.ujn.gov.rs/" TargetMode="External"/><Relationship Id="rId4" Type="http://schemas.openxmlformats.org/officeDocument/2006/relationships/hyperlink" Target="http://www.beocin.rs/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LibreOffice/5.3.6.1$Windows_x86 LibreOffice_project/686f202eff87ef707079aeb7f485847613344eb7</Application>
  <Pages>4</Pages>
  <Words>806</Words>
  <Characters>5011</Characters>
  <CharactersWithSpaces>5743</CharactersWithSpaces>
  <Paragraphs>88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2019-05-13T10:41:00Z</dcterms:created>
  <dc:creator>djordje.belenzada</dc:creator>
  <dc:description/>
  <dc:language>sr-Latn-CS</dc:language>
  <cp:lastModifiedBy/>
  <cp:lastPrinted>1601-01-01T00:00:00Z</cp:lastPrinted>
  <dcterms:modified xsi:type="dcterms:W3CDTF">2019-05-15T07:40:50Z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