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bookmarkStart w:id="0" w:name="_GoBack"/>
      <w:bookmarkEnd w:id="0"/>
      <w:r>
        <w:rPr>
          <w:b/>
          <w:sz w:val="24"/>
          <w:szCs w:val="24"/>
        </w:rPr>
        <w:t xml:space="preserve">OBRAZAC 1 - </w:t>
      </w:r>
      <w:r>
        <w:rPr>
          <w:b/>
          <w:sz w:val="24"/>
          <w:szCs w:val="24"/>
          <w:lang w:val="sr-CS"/>
        </w:rPr>
        <w:t>OBRAZAC PONUDE</w:t>
      </w:r>
    </w:p>
    <w:p>
      <w:pPr>
        <w:pStyle w:val="Heading"/>
        <w:jc w:val="left"/>
        <w:rPr>
          <w:rFonts w:ascii="Times New Roman" w:hAnsi="Times New Roman" w:cs="Times New Roman"/>
          <w:b w:val="false"/>
          <w:b w:val="false"/>
          <w:sz w:val="24"/>
          <w:szCs w:val="24"/>
          <w:lang w:val="cs-CZ"/>
        </w:rPr>
      </w:pPr>
      <w:r>
        <w:rPr>
          <w:rFonts w:cs="Times New Roman" w:ascii="Times New Roman" w:hAnsi="Times New Roman"/>
          <w:b w:val="false"/>
          <w:sz w:val="24"/>
          <w:szCs w:val="24"/>
          <w:lang w:val="cs-CZ"/>
        </w:rPr>
      </w:r>
    </w:p>
    <w:p>
      <w:pPr>
        <w:pStyle w:val="Normal"/>
        <w:rPr/>
      </w:pPr>
      <w:r>
        <w:rPr>
          <w:b/>
          <w:sz w:val="24"/>
          <w:szCs w:val="24"/>
          <w:lang w:val="en-US"/>
        </w:rPr>
        <w:t xml:space="preserve">Broj </w:t>
      </w:r>
      <w:r>
        <w:rPr>
          <w:b/>
          <w:sz w:val="24"/>
          <w:szCs w:val="24"/>
          <w:lang w:val="sr-CS"/>
        </w:rPr>
        <w:t>publikacij</w:t>
      </w:r>
      <w:r>
        <w:rPr>
          <w:b/>
          <w:sz w:val="24"/>
          <w:szCs w:val="24"/>
          <w:lang w:val="en-US"/>
        </w:rPr>
        <w:t>e</w:t>
      </w:r>
      <w:r>
        <w:rPr>
          <w:b/>
          <w:sz w:val="24"/>
          <w:szCs w:val="24"/>
          <w:lang w:val="sr-CS"/>
        </w:rPr>
        <w:t>:</w:t>
      </w:r>
      <w:r>
        <w:rPr>
          <w:b/>
          <w:sz w:val="24"/>
          <w:szCs w:val="24"/>
          <w:lang w:val="cs-CZ"/>
        </w:rPr>
        <w:t xml:space="preserve"> </w:t>
      </w:r>
      <w:r>
        <w:rPr>
          <w:b/>
          <w:sz w:val="24"/>
          <w:szCs w:val="24"/>
          <w:lang w:val="sr-Latn-CS"/>
        </w:rPr>
        <w:t>RHP-W4</w:t>
      </w:r>
      <w:r>
        <w:rPr>
          <w:b/>
          <w:sz w:val="24"/>
          <w:szCs w:val="24"/>
          <w:lang w:val="en-US"/>
        </w:rPr>
        <w:t>-01-404-150/2019</w:t>
      </w:r>
    </w:p>
    <w:p>
      <w:pPr>
        <w:pStyle w:val="Normal"/>
        <w:rPr/>
      </w:pPr>
      <w:r>
        <w:rPr>
          <w:b/>
          <w:sz w:val="24"/>
          <w:szCs w:val="24"/>
          <w:lang w:val="sr-CS"/>
        </w:rPr>
        <w:t>Naziv ugovora:</w:t>
      </w:r>
      <w:r>
        <w:rPr>
          <w:b/>
          <w:sz w:val="24"/>
          <w:szCs w:val="24"/>
          <w:lang w:val="cs-CZ"/>
        </w:rPr>
        <w:t xml:space="preserve"> </w:t>
      </w:r>
      <w:r>
        <w:rPr>
          <w:b/>
          <w:bCs/>
          <w:sz w:val="24"/>
          <w:szCs w:val="24"/>
        </w:rPr>
        <w:t>Nabavka</w:t>
      </w:r>
      <w:r>
        <w:rPr>
          <w:b/>
          <w:bCs/>
          <w:sz w:val="24"/>
          <w:szCs w:val="24"/>
          <w:lang w:val="sr-Latn-RS"/>
        </w:rPr>
        <w:t xml:space="preserve"> </w:t>
      </w:r>
      <w:r>
        <w:rPr>
          <w:b/>
          <w:sz w:val="24"/>
          <w:szCs w:val="24"/>
          <w:lang w:val="sr-Latn-RS"/>
        </w:rPr>
        <w:t>5 paketa građevinskog materijala</w:t>
      </w:r>
    </w:p>
    <w:p>
      <w:pPr>
        <w:pStyle w:val="Heading"/>
        <w:jc w:val="left"/>
        <w:rPr>
          <w:rFonts w:ascii="Times New Roman" w:hAnsi="Times New Roman" w:cs="Times New Roman"/>
          <w:sz w:val="24"/>
          <w:szCs w:val="24"/>
          <w:lang w:val="cs-CZ"/>
        </w:rPr>
      </w:pPr>
      <w:r>
        <w:rPr>
          <w:rFonts w:cs="Times New Roman" w:ascii="Times New Roman" w:hAnsi="Times New Roman"/>
          <w:sz w:val="24"/>
          <w:szCs w:val="24"/>
          <w:lang w:val="cs-CZ"/>
        </w:rPr>
      </w:r>
    </w:p>
    <w:p>
      <w:pPr>
        <w:pStyle w:val="Normal"/>
        <w:jc w:val="right"/>
        <w:rPr/>
      </w:pPr>
      <w:r>
        <w:rPr>
          <w:b/>
          <w:sz w:val="24"/>
          <w:szCs w:val="24"/>
          <w:lang w:val="sr-Latn-RS"/>
        </w:rPr>
        <w:t>Opština Beočin</w:t>
      </w:r>
    </w:p>
    <w:p>
      <w:pPr>
        <w:pStyle w:val="Normal"/>
        <w:jc w:val="right"/>
        <w:rPr/>
      </w:pPr>
      <w:r>
        <w:rPr>
          <w:b/>
          <w:sz w:val="24"/>
          <w:szCs w:val="24"/>
          <w:lang w:val="sr-Latn-RS"/>
        </w:rPr>
        <w:t>Svetosavska 25, 21300 Beočin</w:t>
      </w:r>
    </w:p>
    <w:p>
      <w:pPr>
        <w:pStyle w:val="Blockquote"/>
        <w:pBdr>
          <w:top w:val="single" w:sz="4" w:space="1" w:color="000001"/>
        </w:pBdr>
        <w:spacing w:before="0" w:after="0"/>
        <w:ind w:left="0" w:right="0" w:hanging="0"/>
        <w:rPr>
          <w:b/>
          <w:b/>
          <w:sz w:val="24"/>
          <w:szCs w:val="24"/>
          <w:highlight w:val="yellow"/>
          <w:lang w:val="en-US"/>
        </w:rPr>
      </w:pPr>
      <w:r>
        <w:rPr>
          <w:b/>
          <w:sz w:val="24"/>
          <w:szCs w:val="24"/>
          <w:highlight w:val="yellow"/>
          <w:lang w:val="en-US"/>
        </w:rPr>
      </w:r>
    </w:p>
    <w:p>
      <w:pPr>
        <w:pStyle w:val="Blockquote"/>
        <w:rPr/>
      </w:pPr>
      <w:r>
        <w:rPr>
          <w:sz w:val="24"/>
          <w:szCs w:val="24"/>
          <w:lang w:val="sr-CS"/>
        </w:rPr>
        <w:t xml:space="preserve">Potrebno je dostaviti </w:t>
      </w:r>
      <w:r>
        <w:rPr>
          <w:b/>
          <w:sz w:val="24"/>
          <w:szCs w:val="24"/>
          <w:lang w:val="sr-CS"/>
        </w:rPr>
        <w:t>jedan potpisan obrazac</w:t>
      </w:r>
      <w:r>
        <w:rPr>
          <w:sz w:val="24"/>
          <w:szCs w:val="24"/>
          <w:lang w:val="sr-CS"/>
        </w:rPr>
        <w:t>, zajedno sa brojem kopija navedenih u uputstvima ponuđačima.</w:t>
      </w:r>
      <w:r>
        <w:rPr>
          <w:b/>
          <w:sz w:val="24"/>
          <w:szCs w:val="24"/>
          <w:lang w:val="en-US"/>
        </w:rPr>
        <w:t xml:space="preserve">  </w:t>
      </w:r>
      <w:r>
        <w:rPr>
          <w:sz w:val="24"/>
          <w:szCs w:val="24"/>
          <w:lang w:val="sr-CS"/>
        </w:rPr>
        <w:t>Obrazac mora obuhvatati potpisanu izjavu na obrascu iz priloga za svaki od pravnih subjekata koji učestvuju u prijavi.</w:t>
      </w:r>
      <w:r>
        <w:rPr>
          <w:sz w:val="24"/>
          <w:szCs w:val="24"/>
          <w:lang w:val="en-US"/>
        </w:rPr>
        <w:t xml:space="preserve">  </w:t>
      </w:r>
      <w:r>
        <w:rPr>
          <w:b/>
          <w:sz w:val="24"/>
          <w:szCs w:val="24"/>
          <w:lang w:val="sr-CS"/>
        </w:rPr>
        <w:t>Svi podaci iz ovog obrasca moraju se odnositi samo na onaj pravni subjekt ili subjekte koji podnose ponudu.</w:t>
      </w:r>
      <w:r>
        <w:rPr>
          <w:b/>
          <w:sz w:val="24"/>
          <w:szCs w:val="24"/>
          <w:lang w:val="en-US"/>
        </w:rPr>
        <w:t xml:space="preserve"> </w:t>
      </w:r>
      <w:r>
        <w:rPr>
          <w:sz w:val="24"/>
          <w:szCs w:val="24"/>
          <w:lang w:val="sr-CS"/>
        </w:rPr>
        <w:t>Prilozi uz ovaj obrazac koji se podnosi (tj. deklaracije, izjave, uverenja) mogu biti originali ili kopije.</w:t>
      </w:r>
      <w:r>
        <w:rPr>
          <w:sz w:val="24"/>
          <w:szCs w:val="24"/>
          <w:lang w:val="en-US"/>
        </w:rPr>
        <w:t xml:space="preserve"> </w:t>
      </w:r>
      <w:r>
        <w:rPr>
          <w:sz w:val="24"/>
          <w:szCs w:val="24"/>
          <w:lang w:val="sr-CS"/>
        </w:rPr>
        <w:t>Ako se podnose kopije, na zahtev naručioca se dostavljaju i originali.</w:t>
      </w:r>
      <w:r>
        <w:rPr>
          <w:sz w:val="24"/>
          <w:szCs w:val="24"/>
          <w:lang w:val="en-US"/>
        </w:rPr>
        <w:t xml:space="preserve"> </w:t>
      </w:r>
      <w:r>
        <w:rPr>
          <w:sz w:val="24"/>
          <w:szCs w:val="24"/>
          <w:lang w:val="sr-CS"/>
        </w:rPr>
        <w:t>Zbog ekonomskih i ekoloških razloga, preporučujemo da dokumente dostavljate na papirnim materijalima (bez plastičnih košuljica i fascikli). Takođe preporučujemo obostranu štampu gde god je to moguće.</w:t>
      </w:r>
    </w:p>
    <w:p>
      <w:pPr>
        <w:pStyle w:val="Blockquote"/>
        <w:rPr/>
      </w:pPr>
      <w:r>
        <w:rPr>
          <w:sz w:val="24"/>
          <w:szCs w:val="24"/>
          <w:lang w:val="sr-CS"/>
        </w:rPr>
        <w:t>Svi dodatni dokumenti (brošure, pisma, itd.) koji se dostavljaju uz obrazac neće se razmatrati.</w:t>
      </w:r>
      <w:r>
        <w:rPr>
          <w:b/>
          <w:sz w:val="24"/>
          <w:szCs w:val="24"/>
          <w:lang w:val="sr-CS"/>
        </w:rPr>
        <w:t xml:space="preserve"> </w:t>
      </w:r>
      <w:r>
        <w:rPr>
          <w:sz w:val="24"/>
          <w:szCs w:val="24"/>
          <w:lang w:val="sr-CS"/>
        </w:rPr>
        <w:t>Ponude koje podnosi grupa ponuđača mora poštovati uputstva koja važe za nosioca posla i njegove članove.</w:t>
      </w:r>
    </w:p>
    <w:p>
      <w:pPr>
        <w:pStyle w:val="Blockquote"/>
        <w:rPr/>
      </w:pPr>
      <w:r>
        <w:rPr>
          <w:sz w:val="24"/>
          <w:szCs w:val="24"/>
          <w:lang w:val="sr-CS"/>
        </w:rPr>
        <w:t>Privredni subjekt se može, ako tako nalaže priroda ugovora, oslanjati na sposobnost drugih subjekata, bez obzira na pravnu prirodu veza koje ima sa njima. U tom slučaju, on mora dokazati naručiocu da će imati na raspolaganju sve potrebne resurse za potrebe izvršenja ugovora, na primer, pružanjem garancije u ime tih subjekata da će mu staviti na raspolaganje te resurse. Takvi subjekti, na primer matična kompanija privrednog subjekta, moraju poštovati ista pravila prihvatljivosti, naročito po pitanju države porekla, kao i privredni subjekat.</w:t>
      </w:r>
      <w:r>
        <w:br w:type="page"/>
      </w:r>
    </w:p>
    <w:p>
      <w:pPr>
        <w:pStyle w:val="Normal"/>
        <w:rPr/>
      </w:pPr>
      <w:r>
        <w:rPr>
          <w:b/>
          <w:sz w:val="24"/>
          <w:szCs w:val="24"/>
          <w:lang w:val="sr-CS"/>
        </w:rPr>
        <w:t>PODNOSI</w:t>
      </w:r>
    </w:p>
    <w:p>
      <w:pPr>
        <w:pStyle w:val="Normal"/>
        <w:keepNext w:val="true"/>
        <w:ind w:left="425" w:hanging="425"/>
        <w:rPr>
          <w:b/>
          <w:b/>
          <w:sz w:val="24"/>
          <w:szCs w:val="24"/>
        </w:rPr>
      </w:pPr>
      <w:r>
        <w:rPr>
          <w:b/>
          <w:sz w:val="24"/>
          <w:szCs w:val="24"/>
        </w:rPr>
      </w:r>
    </w:p>
    <w:tbl>
      <w:tblPr>
        <w:tblW w:w="10325" w:type="dxa"/>
        <w:jc w:val="left"/>
        <w:tblInd w:w="-21" w:type="dxa"/>
        <w:tblBorders>
          <w:bottom w:val="single" w:sz="6" w:space="0" w:color="000001"/>
          <w:insideH w:val="single" w:sz="6" w:space="0" w:color="000001"/>
        </w:tblBorders>
        <w:tblCellMar>
          <w:top w:w="0" w:type="dxa"/>
          <w:left w:w="108" w:type="dxa"/>
          <w:bottom w:w="0" w:type="dxa"/>
          <w:right w:w="108" w:type="dxa"/>
        </w:tblCellMar>
        <w:tblLook w:firstRow="0" w:noVBand="0" w:lastRow="0" w:firstColumn="0" w:lastColumn="0" w:noHBand="0" w:val="0000"/>
      </w:tblPr>
      <w:tblGrid>
        <w:gridCol w:w="2108"/>
        <w:gridCol w:w="5477"/>
        <w:gridCol w:w="2740"/>
      </w:tblGrid>
      <w:tr>
        <w:trPr>
          <w:cantSplit w:val="true"/>
        </w:trPr>
        <w:tc>
          <w:tcPr>
            <w:tcW w:w="2108" w:type="dxa"/>
            <w:tcBorders>
              <w:bottom w:val="single" w:sz="6" w:space="0" w:color="000001"/>
              <w:insideH w:val="single" w:sz="6" w:space="0" w:color="000001"/>
            </w:tcBorders>
            <w:shd w:color="auto" w:fill="auto" w:val="clear"/>
          </w:tcPr>
          <w:p>
            <w:pPr>
              <w:pStyle w:val="Normal"/>
              <w:snapToGrid w:val="false"/>
              <w:spacing w:before="0" w:after="120"/>
              <w:rPr>
                <w:b/>
                <w:b/>
                <w:sz w:val="24"/>
                <w:szCs w:val="24"/>
              </w:rPr>
            </w:pPr>
            <w:r>
              <w:rPr>
                <w:b/>
                <w:sz w:val="24"/>
                <w:szCs w:val="24"/>
              </w:rPr>
            </w:r>
          </w:p>
        </w:tc>
        <w:tc>
          <w:tcPr>
            <w:tcW w:w="5477" w:type="dxa"/>
            <w:tcBorders>
              <w:top w:val="single" w:sz="6" w:space="0" w:color="000001"/>
              <w:left w:val="single" w:sz="6" w:space="0" w:color="000001"/>
              <w:bottom w:val="single" w:sz="6" w:space="0" w:color="000001"/>
              <w:insideH w:val="single" w:sz="6" w:space="0" w:color="000001"/>
            </w:tcBorders>
            <w:shd w:color="auto" w:fill="F2F2F2" w:val="clear"/>
            <w:tcMar>
              <w:left w:w="100" w:type="dxa"/>
            </w:tcMar>
          </w:tcPr>
          <w:p>
            <w:pPr>
              <w:pStyle w:val="Normal"/>
              <w:spacing w:before="0" w:after="120"/>
              <w:ind w:left="0" w:hanging="0"/>
              <w:rPr/>
            </w:pPr>
            <w:r>
              <w:rPr>
                <w:b/>
                <w:sz w:val="24"/>
                <w:szCs w:val="24"/>
                <w:lang w:val="sr-CS"/>
              </w:rPr>
              <w:t>Naziv(i) ponuđača</w:t>
            </w:r>
          </w:p>
        </w:tc>
        <w:tc>
          <w:tcPr>
            <w:tcW w:w="27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F2F2F2" w:val="clear"/>
            <w:tcMar>
              <w:left w:w="100" w:type="dxa"/>
            </w:tcMar>
          </w:tcPr>
          <w:p>
            <w:pPr>
              <w:pStyle w:val="Normal"/>
              <w:ind w:left="0" w:hanging="0"/>
              <w:rPr>
                <w:b/>
                <w:b/>
                <w:sz w:val="24"/>
                <w:szCs w:val="24"/>
                <w:lang w:val="sr-CS"/>
              </w:rPr>
            </w:pPr>
            <w:r>
              <w:rPr>
                <w:b/>
                <w:sz w:val="24"/>
                <w:szCs w:val="24"/>
                <w:lang w:val="sr-CS"/>
              </w:rPr>
              <w:t>Državljanstvo</w:t>
            </w:r>
            <w:r>
              <w:rPr>
                <w:rStyle w:val="FootnoteAnchor"/>
                <w:b/>
                <w:sz w:val="24"/>
                <w:szCs w:val="24"/>
                <w:lang w:val="sr-CS"/>
              </w:rPr>
              <w:footnoteReference w:id="2"/>
            </w:r>
          </w:p>
          <w:p>
            <w:pPr>
              <w:pStyle w:val="Normal"/>
              <w:spacing w:before="0" w:after="0"/>
              <w:ind w:left="0" w:hanging="0"/>
              <w:rPr>
                <w:b/>
                <w:b/>
                <w:sz w:val="24"/>
                <w:szCs w:val="24"/>
                <w:lang w:val="sr-CS"/>
              </w:rPr>
            </w:pPr>
            <w:r>
              <w:rPr>
                <w:b/>
                <w:sz w:val="24"/>
                <w:szCs w:val="24"/>
                <w:lang w:val="sr-CS"/>
              </w:rPr>
            </w:r>
          </w:p>
        </w:tc>
      </w:tr>
      <w:tr>
        <w:trPr>
          <w:trHeight w:val="951" w:hRule="atLeast"/>
          <w:cantSplit w:val="true"/>
        </w:trPr>
        <w:tc>
          <w:tcPr>
            <w:tcW w:w="2108" w:type="dxa"/>
            <w:tcBorders>
              <w:top w:val="single" w:sz="6" w:space="0" w:color="000001"/>
              <w:left w:val="single" w:sz="6" w:space="0" w:color="000001"/>
              <w:bottom w:val="single" w:sz="6" w:space="0" w:color="000001"/>
              <w:insideH w:val="single" w:sz="6" w:space="0" w:color="000001"/>
            </w:tcBorders>
            <w:shd w:color="auto" w:fill="auto" w:val="clear"/>
            <w:tcMar>
              <w:left w:w="100" w:type="dxa"/>
            </w:tcMar>
          </w:tcPr>
          <w:p>
            <w:pPr>
              <w:pStyle w:val="Normal"/>
              <w:spacing w:before="0" w:after="120"/>
              <w:ind w:left="0" w:hanging="0"/>
              <w:rPr>
                <w:b/>
                <w:b/>
                <w:sz w:val="24"/>
                <w:szCs w:val="24"/>
              </w:rPr>
            </w:pPr>
            <w:r>
              <w:rPr>
                <w:b/>
                <w:sz w:val="24"/>
                <w:szCs w:val="24"/>
                <w:lang w:val="sr-Latn-CS"/>
              </w:rPr>
              <w:t>Ponuđač</w:t>
            </w:r>
            <w:r>
              <w:rPr>
                <w:rStyle w:val="FootnoteAnchor"/>
                <w:b/>
                <w:sz w:val="24"/>
                <w:szCs w:val="24"/>
                <w:lang w:val="sr-Latn-CS"/>
              </w:rPr>
              <w:footnoteReference w:id="3"/>
            </w:r>
          </w:p>
        </w:tc>
        <w:tc>
          <w:tcPr>
            <w:tcW w:w="5477" w:type="dxa"/>
            <w:tcBorders>
              <w:top w:val="single" w:sz="6" w:space="0" w:color="000001"/>
              <w:left w:val="single" w:sz="6" w:space="0" w:color="000001"/>
              <w:bottom w:val="single" w:sz="6" w:space="0" w:color="000001"/>
              <w:insideH w:val="single" w:sz="6" w:space="0" w:color="000001"/>
            </w:tcBorders>
            <w:shd w:color="auto" w:fill="auto" w:val="clear"/>
            <w:tcMar>
              <w:left w:w="100" w:type="dxa"/>
            </w:tcMar>
          </w:tcPr>
          <w:p>
            <w:pPr>
              <w:pStyle w:val="Normal"/>
              <w:snapToGrid w:val="false"/>
              <w:spacing w:before="0" w:after="120"/>
              <w:ind w:left="0" w:hanging="0"/>
              <w:rPr>
                <w:b/>
                <w:b/>
                <w:sz w:val="24"/>
                <w:szCs w:val="24"/>
              </w:rPr>
            </w:pPr>
            <w:r>
              <w:rPr>
                <w:b/>
                <w:sz w:val="24"/>
                <w:szCs w:val="24"/>
              </w:rPr>
            </w:r>
          </w:p>
        </w:tc>
        <w:tc>
          <w:tcPr>
            <w:tcW w:w="27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00" w:type="dxa"/>
            </w:tcMar>
          </w:tcPr>
          <w:p>
            <w:pPr>
              <w:pStyle w:val="Normal"/>
              <w:snapToGrid w:val="false"/>
              <w:spacing w:before="0" w:after="120"/>
              <w:ind w:left="0" w:hanging="0"/>
              <w:rPr>
                <w:b/>
                <w:b/>
                <w:sz w:val="24"/>
                <w:szCs w:val="24"/>
              </w:rPr>
            </w:pPr>
            <w:r>
              <w:rPr>
                <w:b/>
                <w:sz w:val="24"/>
                <w:szCs w:val="24"/>
              </w:rPr>
            </w:r>
          </w:p>
        </w:tc>
      </w:tr>
      <w:tr>
        <w:trPr>
          <w:trHeight w:val="979" w:hRule="atLeast"/>
          <w:cantSplit w:val="true"/>
        </w:trPr>
        <w:tc>
          <w:tcPr>
            <w:tcW w:w="2108" w:type="dxa"/>
            <w:tcBorders>
              <w:top w:val="single" w:sz="6" w:space="0" w:color="000001"/>
              <w:left w:val="single" w:sz="6" w:space="0" w:color="000001"/>
              <w:bottom w:val="single" w:sz="6" w:space="0" w:color="000001"/>
              <w:insideH w:val="single" w:sz="6" w:space="0" w:color="000001"/>
            </w:tcBorders>
            <w:shd w:color="auto" w:fill="auto" w:val="clear"/>
            <w:tcMar>
              <w:left w:w="100" w:type="dxa"/>
            </w:tcMar>
          </w:tcPr>
          <w:p>
            <w:pPr>
              <w:pStyle w:val="Normal"/>
              <w:spacing w:before="0" w:after="120"/>
              <w:ind w:left="0" w:hanging="0"/>
              <w:rPr/>
            </w:pPr>
            <w:r>
              <w:rPr>
                <w:b/>
                <w:sz w:val="24"/>
                <w:szCs w:val="24"/>
                <w:lang w:val="sr-CS"/>
              </w:rPr>
              <w:t>Član 2*</w:t>
            </w:r>
          </w:p>
        </w:tc>
        <w:tc>
          <w:tcPr>
            <w:tcW w:w="5477" w:type="dxa"/>
            <w:tcBorders>
              <w:top w:val="single" w:sz="6" w:space="0" w:color="000001"/>
              <w:left w:val="single" w:sz="6" w:space="0" w:color="000001"/>
              <w:bottom w:val="single" w:sz="6" w:space="0" w:color="000001"/>
              <w:insideH w:val="single" w:sz="6" w:space="0" w:color="000001"/>
            </w:tcBorders>
            <w:shd w:color="auto" w:fill="auto" w:val="clear"/>
            <w:tcMar>
              <w:left w:w="100" w:type="dxa"/>
            </w:tcMar>
          </w:tcPr>
          <w:p>
            <w:pPr>
              <w:pStyle w:val="Normal"/>
              <w:snapToGrid w:val="false"/>
              <w:spacing w:before="0" w:after="120"/>
              <w:ind w:left="0" w:hanging="0"/>
              <w:rPr>
                <w:b/>
                <w:b/>
                <w:sz w:val="24"/>
                <w:szCs w:val="24"/>
                <w:lang w:val="sr-CS"/>
              </w:rPr>
            </w:pPr>
            <w:r>
              <w:rPr>
                <w:b/>
                <w:sz w:val="24"/>
                <w:szCs w:val="24"/>
                <w:lang w:val="sr-CS"/>
              </w:rPr>
            </w:r>
          </w:p>
        </w:tc>
        <w:tc>
          <w:tcPr>
            <w:tcW w:w="27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00" w:type="dxa"/>
            </w:tcMar>
          </w:tcPr>
          <w:p>
            <w:pPr>
              <w:pStyle w:val="Normal"/>
              <w:snapToGrid w:val="false"/>
              <w:spacing w:before="0" w:after="120"/>
              <w:ind w:left="0" w:hanging="0"/>
              <w:rPr>
                <w:b/>
                <w:b/>
                <w:sz w:val="24"/>
                <w:szCs w:val="24"/>
                <w:lang w:val="sr-CS"/>
              </w:rPr>
            </w:pPr>
            <w:r>
              <w:rPr>
                <w:b/>
                <w:sz w:val="24"/>
                <w:szCs w:val="24"/>
                <w:lang w:val="sr-CS"/>
              </w:rPr>
            </w:r>
          </w:p>
        </w:tc>
      </w:tr>
      <w:tr>
        <w:trPr>
          <w:trHeight w:val="1121" w:hRule="atLeast"/>
          <w:cantSplit w:val="true"/>
        </w:trPr>
        <w:tc>
          <w:tcPr>
            <w:tcW w:w="2108" w:type="dxa"/>
            <w:tcBorders>
              <w:top w:val="single" w:sz="6" w:space="0" w:color="000001"/>
              <w:left w:val="single" w:sz="6" w:space="0" w:color="000001"/>
              <w:bottom w:val="single" w:sz="6" w:space="0" w:color="000001"/>
              <w:insideH w:val="single" w:sz="6" w:space="0" w:color="000001"/>
            </w:tcBorders>
            <w:shd w:color="auto" w:fill="auto" w:val="clear"/>
            <w:tcMar>
              <w:left w:w="100" w:type="dxa"/>
            </w:tcMar>
          </w:tcPr>
          <w:p>
            <w:pPr>
              <w:pStyle w:val="Normal"/>
              <w:spacing w:before="0" w:after="120"/>
              <w:ind w:left="0" w:hanging="0"/>
              <w:rPr/>
            </w:pPr>
            <w:r>
              <w:rPr>
                <w:b/>
                <w:sz w:val="24"/>
                <w:szCs w:val="24"/>
                <w:lang w:val="sr-CS"/>
              </w:rPr>
              <w:t>Itd.</w:t>
            </w:r>
            <w:r>
              <w:rPr>
                <w:b/>
                <w:sz w:val="24"/>
                <w:szCs w:val="24"/>
              </w:rPr>
              <w:t xml:space="preserve"> </w:t>
            </w:r>
          </w:p>
        </w:tc>
        <w:tc>
          <w:tcPr>
            <w:tcW w:w="5477" w:type="dxa"/>
            <w:tcBorders>
              <w:top w:val="single" w:sz="6" w:space="0" w:color="000001"/>
              <w:left w:val="single" w:sz="6" w:space="0" w:color="000001"/>
              <w:bottom w:val="single" w:sz="6" w:space="0" w:color="000001"/>
              <w:insideH w:val="single" w:sz="6" w:space="0" w:color="000001"/>
            </w:tcBorders>
            <w:shd w:color="auto" w:fill="auto" w:val="clear"/>
            <w:tcMar>
              <w:left w:w="100" w:type="dxa"/>
            </w:tcMar>
          </w:tcPr>
          <w:p>
            <w:pPr>
              <w:pStyle w:val="Normal"/>
              <w:snapToGrid w:val="false"/>
              <w:spacing w:before="0" w:after="120"/>
              <w:ind w:left="0" w:hanging="0"/>
              <w:rPr>
                <w:b/>
                <w:b/>
                <w:sz w:val="24"/>
                <w:szCs w:val="24"/>
                <w:lang w:val="sr-CS"/>
              </w:rPr>
            </w:pPr>
            <w:r>
              <w:rPr>
                <w:b/>
                <w:sz w:val="24"/>
                <w:szCs w:val="24"/>
                <w:lang w:val="sr-CS"/>
              </w:rPr>
            </w:r>
          </w:p>
        </w:tc>
        <w:tc>
          <w:tcPr>
            <w:tcW w:w="2740"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00" w:type="dxa"/>
            </w:tcMar>
          </w:tcPr>
          <w:p>
            <w:pPr>
              <w:pStyle w:val="Normal"/>
              <w:snapToGrid w:val="false"/>
              <w:spacing w:before="0" w:after="120"/>
              <w:ind w:left="0" w:hanging="0"/>
              <w:rPr>
                <w:b/>
                <w:b/>
                <w:sz w:val="24"/>
                <w:szCs w:val="24"/>
                <w:lang w:val="sr-CS"/>
              </w:rPr>
            </w:pPr>
            <w:r>
              <w:rPr>
                <w:b/>
                <w:sz w:val="24"/>
                <w:szCs w:val="24"/>
                <w:lang w:val="sr-CS"/>
              </w:rPr>
            </w:r>
          </w:p>
        </w:tc>
      </w:tr>
    </w:tbl>
    <w:p>
      <w:pPr>
        <w:pStyle w:val="Normal"/>
        <w:rPr>
          <w:sz w:val="24"/>
          <w:szCs w:val="24"/>
        </w:rPr>
      </w:pPr>
      <w:r>
        <w:rPr>
          <w:sz w:val="24"/>
          <w:szCs w:val="24"/>
        </w:rPr>
      </w:r>
    </w:p>
    <w:p>
      <w:pPr>
        <w:pStyle w:val="Normal"/>
        <w:rPr/>
      </w:pPr>
      <w:r>
        <w:rPr>
          <w:b/>
          <w:sz w:val="24"/>
          <w:szCs w:val="24"/>
          <w:lang w:val="sr-CS"/>
        </w:rPr>
        <w:t>OSOBA ZA KONTAKT (za ovu ponudu</w:t>
      </w:r>
      <w:r>
        <w:rPr/>
        <w:t>)</w:t>
      </w:r>
    </w:p>
    <w:tbl>
      <w:tblPr>
        <w:tblW w:w="10325" w:type="dxa"/>
        <w:jc w:val="left"/>
        <w:tblInd w:w="-21" w:type="dxa"/>
        <w:tblBorders>
          <w:top w:val="single" w:sz="6" w:space="0" w:color="000001"/>
          <w:left w:val="single" w:sz="6" w:space="0" w:color="000001"/>
          <w:bottom w:val="single" w:sz="6" w:space="0" w:color="000001"/>
          <w:insideH w:val="single" w:sz="6" w:space="0" w:color="000001"/>
        </w:tblBorders>
        <w:tblCellMar>
          <w:top w:w="0" w:type="dxa"/>
          <w:left w:w="100" w:type="dxa"/>
          <w:bottom w:w="0" w:type="dxa"/>
          <w:right w:w="108" w:type="dxa"/>
        </w:tblCellMar>
        <w:tblLook w:firstRow="0" w:noVBand="0" w:lastRow="0" w:firstColumn="0" w:lastColumn="0" w:noHBand="0" w:val="0000"/>
      </w:tblPr>
      <w:tblGrid>
        <w:gridCol w:w="2191"/>
        <w:gridCol w:w="8133"/>
      </w:tblGrid>
      <w:tr>
        <w:trPr>
          <w:trHeight w:val="723" w:hRule="atLeast"/>
        </w:trPr>
        <w:tc>
          <w:tcPr>
            <w:tcW w:w="2191" w:type="dxa"/>
            <w:tcBorders>
              <w:top w:val="single" w:sz="6" w:space="0" w:color="000001"/>
              <w:left w:val="single" w:sz="6" w:space="0" w:color="000001"/>
              <w:bottom w:val="single" w:sz="6" w:space="0" w:color="000001"/>
              <w:insideH w:val="single" w:sz="6" w:space="0" w:color="000001"/>
            </w:tcBorders>
            <w:shd w:color="auto" w:fill="F2F2F2" w:val="clear"/>
            <w:tcMar>
              <w:left w:w="100" w:type="dxa"/>
            </w:tcMar>
          </w:tcPr>
          <w:p>
            <w:pPr>
              <w:pStyle w:val="Normal"/>
              <w:spacing w:before="0" w:after="120"/>
              <w:ind w:left="0" w:hanging="0"/>
              <w:rPr/>
            </w:pPr>
            <w:r>
              <w:rPr>
                <w:b/>
                <w:sz w:val="24"/>
                <w:szCs w:val="24"/>
                <w:lang w:val="sr-CS"/>
              </w:rPr>
              <w:t>Naziv</w:t>
            </w:r>
          </w:p>
        </w:tc>
        <w:tc>
          <w:tcPr>
            <w:tcW w:w="813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00" w:type="dxa"/>
            </w:tcMar>
          </w:tcPr>
          <w:p>
            <w:pPr>
              <w:pStyle w:val="Normal"/>
              <w:snapToGrid w:val="false"/>
              <w:spacing w:before="0" w:after="120"/>
              <w:ind w:left="0" w:hanging="0"/>
              <w:rPr>
                <w:sz w:val="24"/>
                <w:szCs w:val="24"/>
                <w:lang w:val="sr-CS"/>
              </w:rPr>
            </w:pPr>
            <w:r>
              <w:rPr>
                <w:sz w:val="24"/>
                <w:szCs w:val="24"/>
                <w:lang w:val="sr-CS"/>
              </w:rPr>
            </w:r>
          </w:p>
        </w:tc>
      </w:tr>
      <w:tr>
        <w:trPr>
          <w:trHeight w:val="834" w:hRule="atLeast"/>
        </w:trPr>
        <w:tc>
          <w:tcPr>
            <w:tcW w:w="2191" w:type="dxa"/>
            <w:tcBorders>
              <w:top w:val="single" w:sz="6" w:space="0" w:color="000001"/>
              <w:left w:val="single" w:sz="6" w:space="0" w:color="000001"/>
              <w:bottom w:val="single" w:sz="6" w:space="0" w:color="000001"/>
              <w:insideH w:val="single" w:sz="6" w:space="0" w:color="000001"/>
            </w:tcBorders>
            <w:shd w:color="auto" w:fill="F2F2F2" w:val="clear"/>
            <w:tcMar>
              <w:left w:w="100" w:type="dxa"/>
            </w:tcMar>
          </w:tcPr>
          <w:p>
            <w:pPr>
              <w:pStyle w:val="Normal"/>
              <w:spacing w:before="0" w:after="120"/>
              <w:ind w:left="0" w:hanging="0"/>
              <w:rPr/>
            </w:pPr>
            <w:r>
              <w:rPr>
                <w:b/>
                <w:sz w:val="24"/>
                <w:szCs w:val="24"/>
                <w:lang w:val="sr-CS"/>
              </w:rPr>
              <w:t>Adresa:</w:t>
            </w:r>
          </w:p>
        </w:tc>
        <w:tc>
          <w:tcPr>
            <w:tcW w:w="813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00" w:type="dxa"/>
            </w:tcMar>
          </w:tcPr>
          <w:p>
            <w:pPr>
              <w:pStyle w:val="Normal"/>
              <w:snapToGrid w:val="false"/>
              <w:spacing w:before="0" w:after="120"/>
              <w:ind w:left="0" w:hanging="0"/>
              <w:rPr>
                <w:sz w:val="24"/>
                <w:szCs w:val="24"/>
                <w:lang w:val="sr-CS"/>
              </w:rPr>
            </w:pPr>
            <w:r>
              <w:rPr>
                <w:sz w:val="24"/>
                <w:szCs w:val="24"/>
                <w:lang w:val="sr-CS"/>
              </w:rPr>
            </w:r>
          </w:p>
        </w:tc>
      </w:tr>
      <w:tr>
        <w:trPr/>
        <w:tc>
          <w:tcPr>
            <w:tcW w:w="2191" w:type="dxa"/>
            <w:tcBorders>
              <w:top w:val="single" w:sz="6" w:space="0" w:color="000001"/>
              <w:left w:val="single" w:sz="6" w:space="0" w:color="000001"/>
              <w:bottom w:val="single" w:sz="6" w:space="0" w:color="000001"/>
              <w:insideH w:val="single" w:sz="6" w:space="0" w:color="000001"/>
            </w:tcBorders>
            <w:shd w:color="auto" w:fill="F2F2F2" w:val="clear"/>
            <w:tcMar>
              <w:left w:w="100" w:type="dxa"/>
            </w:tcMar>
          </w:tcPr>
          <w:p>
            <w:pPr>
              <w:pStyle w:val="Normal"/>
              <w:spacing w:before="0" w:after="120"/>
              <w:ind w:left="0" w:hanging="0"/>
              <w:rPr/>
            </w:pPr>
            <w:r>
              <w:rPr>
                <w:b/>
                <w:sz w:val="24"/>
                <w:szCs w:val="24"/>
                <w:lang w:val="sr-CS"/>
              </w:rPr>
              <w:t xml:space="preserve">Telefon: </w:t>
            </w:r>
          </w:p>
        </w:tc>
        <w:tc>
          <w:tcPr>
            <w:tcW w:w="813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00" w:type="dxa"/>
            </w:tcMar>
          </w:tcPr>
          <w:p>
            <w:pPr>
              <w:pStyle w:val="Normal"/>
              <w:snapToGrid w:val="false"/>
              <w:spacing w:before="0" w:after="120"/>
              <w:ind w:left="0" w:hanging="0"/>
              <w:rPr>
                <w:sz w:val="24"/>
                <w:szCs w:val="24"/>
              </w:rPr>
            </w:pPr>
            <w:r>
              <w:rPr>
                <w:sz w:val="24"/>
                <w:szCs w:val="24"/>
              </w:rPr>
            </w:r>
          </w:p>
        </w:tc>
      </w:tr>
      <w:tr>
        <w:trPr/>
        <w:tc>
          <w:tcPr>
            <w:tcW w:w="2191" w:type="dxa"/>
            <w:tcBorders>
              <w:top w:val="single" w:sz="6" w:space="0" w:color="000001"/>
              <w:left w:val="single" w:sz="6" w:space="0" w:color="000001"/>
              <w:bottom w:val="single" w:sz="6" w:space="0" w:color="000001"/>
              <w:insideH w:val="single" w:sz="6" w:space="0" w:color="000001"/>
            </w:tcBorders>
            <w:shd w:color="auto" w:fill="F2F2F2" w:val="clear"/>
            <w:tcMar>
              <w:left w:w="100" w:type="dxa"/>
            </w:tcMar>
          </w:tcPr>
          <w:p>
            <w:pPr>
              <w:pStyle w:val="Normal"/>
              <w:spacing w:before="0" w:after="120"/>
              <w:ind w:left="0" w:hanging="0"/>
              <w:rPr/>
            </w:pPr>
            <w:r>
              <w:rPr>
                <w:b/>
                <w:sz w:val="24"/>
                <w:szCs w:val="24"/>
                <w:lang w:val="sr-CS"/>
              </w:rPr>
              <w:t>Faks:</w:t>
            </w:r>
          </w:p>
        </w:tc>
        <w:tc>
          <w:tcPr>
            <w:tcW w:w="813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00" w:type="dxa"/>
            </w:tcMar>
          </w:tcPr>
          <w:p>
            <w:pPr>
              <w:pStyle w:val="Normal"/>
              <w:snapToGrid w:val="false"/>
              <w:spacing w:before="0" w:after="120"/>
              <w:ind w:left="0" w:hanging="0"/>
              <w:rPr>
                <w:sz w:val="24"/>
                <w:szCs w:val="24"/>
                <w:lang w:val="sr-CS"/>
              </w:rPr>
            </w:pPr>
            <w:r>
              <w:rPr>
                <w:sz w:val="24"/>
                <w:szCs w:val="24"/>
                <w:lang w:val="sr-CS"/>
              </w:rPr>
            </w:r>
          </w:p>
        </w:tc>
      </w:tr>
      <w:tr>
        <w:trPr>
          <w:trHeight w:val="420" w:hRule="atLeast"/>
        </w:trPr>
        <w:tc>
          <w:tcPr>
            <w:tcW w:w="2191" w:type="dxa"/>
            <w:tcBorders>
              <w:top w:val="single" w:sz="6" w:space="0" w:color="000001"/>
              <w:left w:val="single" w:sz="6" w:space="0" w:color="000001"/>
              <w:bottom w:val="single" w:sz="6" w:space="0" w:color="000001"/>
              <w:insideH w:val="single" w:sz="6" w:space="0" w:color="000001"/>
            </w:tcBorders>
            <w:shd w:color="auto" w:fill="F2F2F2" w:val="clear"/>
            <w:tcMar>
              <w:left w:w="100" w:type="dxa"/>
            </w:tcMar>
          </w:tcPr>
          <w:p>
            <w:pPr>
              <w:pStyle w:val="Normal"/>
              <w:spacing w:before="0" w:after="120"/>
              <w:ind w:left="0" w:hanging="0"/>
              <w:rPr/>
            </w:pPr>
            <w:r>
              <w:rPr>
                <w:b/>
                <w:sz w:val="24"/>
                <w:szCs w:val="24"/>
                <w:lang w:val="sr-CS"/>
              </w:rPr>
              <w:t>E-pošta:</w:t>
            </w:r>
          </w:p>
        </w:tc>
        <w:tc>
          <w:tcPr>
            <w:tcW w:w="8133" w:type="dxa"/>
            <w:tcBorders>
              <w:top w:val="single" w:sz="6" w:space="0" w:color="000001"/>
              <w:left w:val="single" w:sz="6" w:space="0" w:color="000001"/>
              <w:bottom w:val="single" w:sz="6" w:space="0" w:color="000001"/>
              <w:right w:val="single" w:sz="6" w:space="0" w:color="000001"/>
              <w:insideH w:val="single" w:sz="6" w:space="0" w:color="000001"/>
              <w:insideV w:val="single" w:sz="6" w:space="0" w:color="000001"/>
            </w:tcBorders>
            <w:shd w:color="auto" w:fill="auto" w:val="clear"/>
            <w:tcMar>
              <w:left w:w="100" w:type="dxa"/>
            </w:tcMar>
          </w:tcPr>
          <w:p>
            <w:pPr>
              <w:pStyle w:val="Normal"/>
              <w:snapToGrid w:val="false"/>
              <w:spacing w:before="0" w:after="120"/>
              <w:ind w:left="0" w:hanging="0"/>
              <w:rPr>
                <w:sz w:val="24"/>
                <w:szCs w:val="24"/>
                <w:lang w:val="sr-CS"/>
              </w:rPr>
            </w:pPr>
            <w:r>
              <w:rPr>
                <w:sz w:val="24"/>
                <w:szCs w:val="24"/>
                <w:lang w:val="sr-CS"/>
              </w:rPr>
            </w:r>
          </w:p>
        </w:tc>
      </w:tr>
    </w:tbl>
    <w:p>
      <w:pPr>
        <w:pStyle w:val="Normal"/>
        <w:ind w:left="426" w:hanging="0"/>
        <w:rPr/>
      </w:pPr>
      <w:r>
        <w:br w:type="page"/>
      </w:r>
      <w:r>
        <w:rPr>
          <w:b/>
          <w:sz w:val="24"/>
          <w:szCs w:val="24"/>
          <w:lang w:val="sr-CS"/>
        </w:rPr>
        <w:t>IZJAVA PONUĐAČA</w:t>
      </w:r>
    </w:p>
    <w:p>
      <w:pPr>
        <w:pStyle w:val="Normal"/>
        <w:keepLines/>
        <w:widowControl w:val="false"/>
        <w:spacing w:before="240" w:after="120"/>
        <w:ind w:left="425" w:hanging="0"/>
        <w:rPr/>
      </w:pPr>
      <w:r>
        <w:rPr>
          <w:b/>
          <w:sz w:val="24"/>
          <w:szCs w:val="24"/>
          <w:lang w:val="sr-CS"/>
        </w:rPr>
        <w:t>U sklopu svoje ponude, svi pravni subjekti navedeni u tački 1. ovog obrasca, uključujući sve članove grupe ponuđača, podnose potpisanu izjavu na sledećem obrascu.</w:t>
      </w:r>
    </w:p>
    <w:p>
      <w:pPr>
        <w:pStyle w:val="Normal"/>
        <w:keepNext w:val="true"/>
        <w:keepLines/>
        <w:widowControl w:val="false"/>
        <w:spacing w:before="240" w:after="120"/>
        <w:ind w:left="425" w:hanging="0"/>
        <w:rPr/>
      </w:pPr>
      <w:r>
        <w:rPr>
          <w:sz w:val="24"/>
          <w:szCs w:val="24"/>
          <w:lang w:val="sr-CS"/>
        </w:rPr>
        <w:t>Kao odgovor na vaš poziv na dostavljanje ponuda za navedeni ugovor,</w:t>
      </w:r>
    </w:p>
    <w:p>
      <w:pPr>
        <w:pStyle w:val="Normal"/>
        <w:spacing w:before="240" w:after="120"/>
        <w:ind w:left="425" w:hanging="0"/>
        <w:rPr/>
      </w:pPr>
      <w:r>
        <w:rPr>
          <w:sz w:val="24"/>
          <w:szCs w:val="24"/>
          <w:lang w:val="sr-CS"/>
        </w:rPr>
        <w:t>mi, dole potpisani, ovim izjavljujemo da:</w:t>
      </w:r>
    </w:p>
    <w:p>
      <w:pPr>
        <w:pStyle w:val="Normal"/>
        <w:numPr>
          <w:ilvl w:val="0"/>
          <w:numId w:val="2"/>
        </w:numPr>
        <w:spacing w:before="240" w:after="0"/>
        <w:ind w:left="714" w:hanging="357"/>
        <w:rPr/>
      </w:pPr>
      <w:r>
        <w:rPr>
          <w:sz w:val="24"/>
          <w:szCs w:val="24"/>
          <w:lang w:val="sr-CS"/>
        </w:rPr>
        <w:t xml:space="preserve">Smo proučili i u potpunosti prihvatili sadržaj </w:t>
      </w:r>
      <w:r>
        <w:rPr>
          <w:sz w:val="24"/>
          <w:szCs w:val="24"/>
          <w:lang w:val="sr-Latn-CS"/>
        </w:rPr>
        <w:t xml:space="preserve">tenderskog </w:t>
      </w:r>
      <w:r>
        <w:rPr>
          <w:sz w:val="24"/>
          <w:szCs w:val="24"/>
          <w:lang w:val="sr-CS"/>
        </w:rPr>
        <w:t xml:space="preserve">dosijea </w:t>
      </w:r>
      <w:r>
        <w:rPr>
          <w:sz w:val="24"/>
          <w:szCs w:val="24"/>
          <w:lang w:val="sr-Latn-CS"/>
        </w:rPr>
        <w:t xml:space="preserve">na osnovu </w:t>
      </w:r>
      <w:r>
        <w:rPr>
          <w:sz w:val="24"/>
          <w:szCs w:val="24"/>
          <w:lang w:val="sr-CS"/>
        </w:rPr>
        <w:t>poziv</w:t>
      </w:r>
      <w:r>
        <w:rPr>
          <w:sz w:val="24"/>
          <w:szCs w:val="24"/>
          <w:lang w:val="sr-Latn-CS"/>
        </w:rPr>
        <w:t>a</w:t>
      </w:r>
      <w:r>
        <w:rPr>
          <w:sz w:val="24"/>
          <w:szCs w:val="24"/>
          <w:lang w:val="sr-CS"/>
        </w:rPr>
        <w:t xml:space="preserve"> </w:t>
      </w:r>
      <w:r>
        <w:rPr>
          <w:sz w:val="24"/>
          <w:szCs w:val="24"/>
          <w:lang w:val="sr-Latn-CS"/>
        </w:rPr>
        <w:t>za</w:t>
      </w:r>
      <w:r>
        <w:rPr>
          <w:sz w:val="24"/>
          <w:szCs w:val="24"/>
          <w:lang w:val="sr-CS"/>
        </w:rPr>
        <w:t xml:space="preserve"> učešće </w:t>
      </w:r>
      <w:r>
        <w:rPr>
          <w:sz w:val="24"/>
          <w:szCs w:val="24"/>
          <w:lang w:val="sr-Latn-CS"/>
        </w:rPr>
        <w:t>na</w:t>
      </w:r>
      <w:r>
        <w:rPr>
          <w:sz w:val="24"/>
          <w:szCs w:val="24"/>
          <w:lang w:val="sr-CS"/>
        </w:rPr>
        <w:t xml:space="preserve"> tenderu broj </w:t>
      </w:r>
      <w:r>
        <w:rPr>
          <w:b/>
          <w:sz w:val="24"/>
          <w:szCs w:val="24"/>
          <w:lang w:val="sr-Latn-RS"/>
        </w:rPr>
        <w:t>RHP-W4</w:t>
      </w:r>
      <w:r>
        <w:rPr>
          <w:b/>
          <w:sz w:val="24"/>
          <w:szCs w:val="24"/>
          <w:lang w:val="en-US"/>
        </w:rPr>
        <w:t xml:space="preserve">-01-404-150/2019 </w:t>
      </w:r>
      <w:r>
        <w:rPr>
          <w:sz w:val="24"/>
          <w:szCs w:val="24"/>
          <w:lang w:val="sr-CS"/>
        </w:rPr>
        <w:t xml:space="preserve">od dana </w:t>
      </w:r>
      <w:r>
        <w:rPr>
          <w:b/>
          <w:sz w:val="24"/>
          <w:szCs w:val="24"/>
          <w:lang w:val="sr-Latn-RS"/>
        </w:rPr>
        <w:t>24.0</w:t>
      </w:r>
      <w:r>
        <w:rPr>
          <w:b/>
          <w:sz w:val="24"/>
          <w:szCs w:val="24"/>
          <w:lang w:val="sr-Latn-RS"/>
        </w:rPr>
        <w:t>5</w:t>
      </w:r>
      <w:r>
        <w:rPr>
          <w:b/>
          <w:sz w:val="24"/>
          <w:szCs w:val="24"/>
          <w:lang w:val="sr-Latn-RS"/>
        </w:rPr>
        <w:t>.2019</w:t>
      </w:r>
      <w:r>
        <w:rPr>
          <w:sz w:val="24"/>
          <w:szCs w:val="24"/>
          <w:lang w:val="sr-CS"/>
        </w:rPr>
        <w:t>.</w:t>
      </w:r>
      <w:r>
        <w:rPr>
          <w:b/>
          <w:sz w:val="24"/>
          <w:szCs w:val="24"/>
          <w:lang w:val="en-US"/>
        </w:rPr>
        <w:t xml:space="preserve"> godine</w:t>
      </w:r>
      <w:r>
        <w:rPr>
          <w:sz w:val="24"/>
          <w:szCs w:val="24"/>
          <w:lang w:val="en-US"/>
        </w:rPr>
        <w:t>.</w:t>
      </w:r>
      <w:r>
        <w:rPr>
          <w:sz w:val="24"/>
          <w:szCs w:val="24"/>
          <w:lang w:val="sr-CS"/>
        </w:rPr>
        <w:t xml:space="preserve"> Ovim izjavljujemo da u potpunosti prihvatamo njegove odredbe, bezrezervno i bez ograničenja.</w:t>
      </w:r>
    </w:p>
    <w:p>
      <w:pPr>
        <w:pStyle w:val="Normal"/>
        <w:numPr>
          <w:ilvl w:val="0"/>
          <w:numId w:val="2"/>
        </w:numPr>
        <w:spacing w:before="240" w:after="0"/>
        <w:ind w:left="709" w:hanging="357"/>
        <w:rPr/>
      </w:pPr>
      <w:r>
        <w:rPr>
          <w:sz w:val="24"/>
          <w:szCs w:val="24"/>
          <w:lang w:val="sr-CS"/>
        </w:rPr>
        <w:t xml:space="preserve">Nudimo </w:t>
      </w:r>
      <w:r>
        <w:rPr>
          <w:sz w:val="24"/>
          <w:szCs w:val="24"/>
        </w:rPr>
        <w:t>isporuku</w:t>
      </w:r>
      <w:r>
        <w:rPr>
          <w:sz w:val="24"/>
          <w:szCs w:val="24"/>
          <w:lang w:val="sr-CS"/>
        </w:rPr>
        <w:t xml:space="preserve">, u </w:t>
      </w:r>
      <w:r>
        <w:rPr>
          <w:color w:val="000000"/>
          <w:sz w:val="24"/>
          <w:szCs w:val="24"/>
          <w:lang w:val="sr-CS"/>
        </w:rPr>
        <w:t>skladu sa zahtevima tenderskog dosijea i navedenim uslovima i vremenskim rokovima, bez rezerve i ograničenja</w:t>
      </w:r>
      <w:r>
        <w:rPr>
          <w:color w:val="000000"/>
          <w:sz w:val="24"/>
          <w:szCs w:val="24"/>
          <w:lang w:val="sr-Latn-RS"/>
        </w:rPr>
        <w:t xml:space="preserve">, </w:t>
      </w:r>
      <w:r>
        <w:rPr>
          <w:color w:val="000000"/>
          <w:sz w:val="24"/>
          <w:szCs w:val="24"/>
          <w:lang w:val="en-US"/>
        </w:rPr>
        <w:t>u skladu sa tehni</w:t>
      </w:r>
      <w:r>
        <w:rPr>
          <w:color w:val="000000"/>
          <w:sz w:val="24"/>
          <w:szCs w:val="24"/>
          <w:lang w:val="sr-Latn-RS"/>
        </w:rPr>
        <w:t>čkim specifikacijama i količinama materijala navedenim u Aneksu 2.</w:t>
      </w:r>
    </w:p>
    <w:p>
      <w:pPr>
        <w:pStyle w:val="Normal"/>
        <w:numPr>
          <w:ilvl w:val="0"/>
          <w:numId w:val="2"/>
        </w:numPr>
        <w:spacing w:before="240" w:after="0"/>
        <w:rPr/>
      </w:pPr>
      <w:r>
        <w:rPr>
          <w:b/>
          <w:sz w:val="24"/>
          <w:szCs w:val="24"/>
          <w:lang w:val="sr-CS"/>
        </w:rPr>
        <w:t>Cena naše ponude  je:  .................... dinara (bez PDV-a).</w:t>
      </w:r>
    </w:p>
    <w:p>
      <w:pPr>
        <w:pStyle w:val="Normal"/>
        <w:spacing w:before="240" w:after="0"/>
        <w:ind w:left="720" w:hanging="0"/>
        <w:rPr/>
      </w:pPr>
      <w:r>
        <w:rPr>
          <w:sz w:val="24"/>
          <w:szCs w:val="24"/>
          <w:lang w:val="sr-CS"/>
        </w:rPr>
        <w:t>Cena naše ponude  je:  .................... dinara (</w:t>
      </w:r>
      <w:r>
        <w:rPr>
          <w:sz w:val="24"/>
          <w:szCs w:val="24"/>
          <w:lang w:val="sr-Latn-CS"/>
        </w:rPr>
        <w:t>sa</w:t>
      </w:r>
      <w:r>
        <w:rPr>
          <w:sz w:val="24"/>
          <w:szCs w:val="24"/>
          <w:lang w:val="sr-CS"/>
        </w:rPr>
        <w:t xml:space="preserve"> PDV-</w:t>
      </w:r>
      <w:r>
        <w:rPr>
          <w:sz w:val="24"/>
          <w:szCs w:val="24"/>
          <w:lang w:val="sr-Latn-CS"/>
        </w:rPr>
        <w:t>om</w:t>
      </w:r>
      <w:r>
        <w:rPr>
          <w:sz w:val="24"/>
          <w:szCs w:val="24"/>
          <w:lang w:val="sr-CS"/>
        </w:rPr>
        <w:t>).</w:t>
      </w:r>
    </w:p>
    <w:p>
      <w:pPr>
        <w:pStyle w:val="Normal"/>
        <w:numPr>
          <w:ilvl w:val="0"/>
          <w:numId w:val="2"/>
        </w:numPr>
        <w:spacing w:before="240" w:after="0"/>
        <w:rPr/>
      </w:pPr>
      <w:r>
        <w:rPr>
          <w:sz w:val="24"/>
          <w:szCs w:val="24"/>
          <w:lang w:val="en-US"/>
        </w:rPr>
        <w:t>Iznos avansnog plaćanja:.........................dinara</w:t>
      </w:r>
      <w:r>
        <w:rPr>
          <w:sz w:val="24"/>
          <w:szCs w:val="24"/>
        </w:rPr>
        <w:t xml:space="preserve"> (bez PDV-a)(najviše 30% ponuđene cene) </w:t>
      </w:r>
    </w:p>
    <w:p>
      <w:pPr>
        <w:pStyle w:val="Normal"/>
        <w:spacing w:before="240" w:after="0"/>
        <w:ind w:left="720" w:hanging="0"/>
        <w:rPr/>
      </w:pPr>
      <w:r>
        <w:rPr>
          <w:i/>
          <w:sz w:val="24"/>
          <w:szCs w:val="24"/>
          <w:highlight w:val="lightGray"/>
          <w:lang w:val="en-US"/>
        </w:rPr>
        <w:t>(Uputstvo za ponuđača, izbrisati pre štampanja: Ponuđač ima pravo da zahteva isplatu avansa u visini od najviše 30% ponuđene cene. Napominjemo da potencijalni ponuđač ima samo pravo, a ne i obavezu da zahteva isplatu avansa. U slučaju da ponuđač u svojoj ponudi predvidi da zahteva isplatu avansa, ponuđač je dužan da, u skladu sa uslovima i rokovima predviđenim Tenderskim dosijeom, dostavi garanciju za povraćaj avansnog plaćanja u traženom roku).</w:t>
      </w:r>
      <w:r>
        <w:rPr>
          <w:i/>
          <w:sz w:val="24"/>
          <w:szCs w:val="24"/>
          <w:lang w:val="en-US"/>
        </w:rPr>
        <w:t>)</w:t>
      </w:r>
    </w:p>
    <w:p>
      <w:pPr>
        <w:pStyle w:val="Normal"/>
        <w:numPr>
          <w:ilvl w:val="0"/>
          <w:numId w:val="2"/>
        </w:numPr>
        <w:spacing w:before="240" w:after="0"/>
        <w:rPr/>
      </w:pPr>
      <w:r>
        <w:rPr>
          <w:sz w:val="24"/>
          <w:szCs w:val="24"/>
          <w:lang w:val="sr-CS"/>
        </w:rPr>
        <w:t>Ova ponuda važi ............. dana od isteka roka za dostavljanje ponuda (najmanje 120 dana od dana isteka roka za dostavljanje ponuda).</w:t>
      </w:r>
    </w:p>
    <w:p>
      <w:pPr>
        <w:pStyle w:val="Normal"/>
        <w:numPr>
          <w:ilvl w:val="0"/>
          <w:numId w:val="2"/>
        </w:numPr>
        <w:spacing w:before="240" w:after="0"/>
        <w:rPr/>
      </w:pPr>
      <w:r>
        <w:rPr>
          <w:sz w:val="24"/>
          <w:szCs w:val="24"/>
          <w:lang w:val="sr-CS"/>
        </w:rPr>
        <w:t xml:space="preserve">Ako naša ponuda bude prihvaćena, mi ćemo dostaviti </w:t>
      </w:r>
      <w:r>
        <w:rPr>
          <w:sz w:val="24"/>
          <w:szCs w:val="24"/>
          <w:lang w:val="en-US"/>
        </w:rPr>
        <w:t>&lt;</w:t>
      </w:r>
      <w:r>
        <w:rPr>
          <w:sz w:val="24"/>
          <w:szCs w:val="24"/>
          <w:highlight w:val="lightGray"/>
          <w:lang w:val="en-US"/>
        </w:rPr>
        <w:t>garanciju banke za povraćaj avansa,</w:t>
      </w:r>
      <w:r>
        <w:rPr>
          <w:sz w:val="24"/>
          <w:szCs w:val="24"/>
          <w:lang w:val="en-US"/>
        </w:rPr>
        <w:t xml:space="preserve">&gt; blanko solo menicu </w:t>
      </w:r>
      <w:r>
        <w:rPr>
          <w:sz w:val="24"/>
          <w:szCs w:val="24"/>
          <w:lang w:val="sr-CS"/>
        </w:rPr>
        <w:t xml:space="preserve">za dobro izvršenje posla </w:t>
      </w:r>
      <w:r>
        <w:rPr>
          <w:sz w:val="24"/>
          <w:szCs w:val="24"/>
          <w:lang w:val="sr-Latn-RS"/>
        </w:rPr>
        <w:t xml:space="preserve">i Vendors listu za sva ponuđena dobra, </w:t>
      </w:r>
      <w:r>
        <w:rPr>
          <w:sz w:val="24"/>
          <w:szCs w:val="24"/>
          <w:lang w:val="sr-CS"/>
        </w:rPr>
        <w:t>u skladu sa Uputstvom ponuđačima, Projektnim zadatkom za građevinski materijal</w:t>
      </w:r>
      <w:r>
        <w:rPr>
          <w:sz w:val="24"/>
          <w:szCs w:val="24"/>
          <w:lang w:val="sr-Latn-CS"/>
        </w:rPr>
        <w:t xml:space="preserve">, </w:t>
      </w:r>
      <w:r>
        <w:rPr>
          <w:sz w:val="24"/>
          <w:szCs w:val="24"/>
          <w:lang w:val="sr-CS"/>
        </w:rPr>
        <w:t xml:space="preserve">Posebnim uslovima Ugovornog sporazuma </w:t>
      </w:r>
      <w:r>
        <w:rPr>
          <w:sz w:val="24"/>
          <w:szCs w:val="24"/>
          <w:lang w:val="sr-Latn-CS"/>
        </w:rPr>
        <w:t>i Aneksom 2 – Struktura količina za materijal</w:t>
      </w:r>
      <w:r>
        <w:rPr>
          <w:sz w:val="24"/>
          <w:szCs w:val="24"/>
          <w:lang w:val="sr-CS"/>
        </w:rPr>
        <w:t xml:space="preserve"> koji čine sastavni deo Tenderskog dosijea.</w:t>
      </w:r>
    </w:p>
    <w:p>
      <w:pPr>
        <w:pStyle w:val="Normal"/>
        <w:numPr>
          <w:ilvl w:val="0"/>
          <w:numId w:val="2"/>
        </w:numPr>
        <w:spacing w:before="240" w:after="0"/>
        <w:rPr/>
      </w:pPr>
      <w:r>
        <w:rPr>
          <w:sz w:val="24"/>
          <w:szCs w:val="24"/>
          <w:lang w:val="sr-CS"/>
        </w:rPr>
        <w:t>Nacionalnost naše firme/kompanije [</w:t>
      </w:r>
      <w:r>
        <w:rPr>
          <w:i/>
          <w:sz w:val="24"/>
          <w:szCs w:val="24"/>
          <w:lang w:val="sr-CS"/>
        </w:rPr>
        <w:t>i naših podizvođača</w:t>
      </w:r>
      <w:r>
        <w:rPr>
          <w:sz w:val="24"/>
          <w:szCs w:val="24"/>
          <w:lang w:val="sr-CS"/>
        </w:rPr>
        <w:t>] je:</w:t>
      </w:r>
    </w:p>
    <w:p>
      <w:pPr>
        <w:pStyle w:val="Normal"/>
        <w:spacing w:before="240" w:after="120"/>
        <w:ind w:left="709" w:hanging="0"/>
        <w:rPr/>
      </w:pPr>
      <w:r>
        <w:rPr>
          <w:b/>
          <w:sz w:val="24"/>
          <w:szCs w:val="24"/>
        </w:rPr>
        <w:t>&lt;</w:t>
      </w:r>
      <w:r>
        <w:rPr>
          <w:sz w:val="24"/>
          <w:szCs w:val="24"/>
        </w:rPr>
        <w:t>…………………………………………………&gt;</w:t>
      </w:r>
    </w:p>
    <w:p>
      <w:pPr>
        <w:pStyle w:val="Normal"/>
        <w:numPr>
          <w:ilvl w:val="0"/>
          <w:numId w:val="2"/>
        </w:numPr>
        <w:spacing w:before="240" w:after="0"/>
        <w:rPr/>
      </w:pPr>
      <w:r>
        <w:rPr>
          <w:sz w:val="24"/>
          <w:szCs w:val="24"/>
          <w:lang w:val="sr-CS"/>
        </w:rPr>
        <w:t>Ovu ponudu sačinjavamo [na individualnoj osnovi/kao članovi grupe ponuđača koje predvodi &lt;naziv nosioca posla/kojim rukovodimo mi sami&gt;].</w:t>
      </w:r>
      <w:r>
        <w:rPr>
          <w:sz w:val="24"/>
          <w:szCs w:val="24"/>
        </w:rPr>
        <w:t xml:space="preserve"> </w:t>
      </w:r>
      <w:r>
        <w:rPr>
          <w:sz w:val="24"/>
          <w:szCs w:val="24"/>
          <w:lang w:val="sr-CS"/>
        </w:rPr>
        <w:t>Ovim potvrđujemo da za ovaj ugovor nismo dostavljali druge ponude u drugom obliku.</w:t>
      </w:r>
      <w:r>
        <w:rPr>
          <w:sz w:val="24"/>
          <w:szCs w:val="24"/>
        </w:rPr>
        <w:t xml:space="preserve"> </w:t>
      </w:r>
      <w:r>
        <w:rPr>
          <w:sz w:val="24"/>
          <w:szCs w:val="24"/>
          <w:lang w:val="sr-CS"/>
        </w:rPr>
        <w:t xml:space="preserve">[Potvrđujemo, kao član grupe ponuđača, da su svi članovi zajednički i pojedinačno zakonski odgovorni za izvršenje ugovora, da je </w:t>
      </w:r>
      <w:r>
        <w:rPr>
          <w:sz w:val="24"/>
          <w:szCs w:val="24"/>
          <w:lang w:val="sr-Latn-CS"/>
        </w:rPr>
        <w:t>vodeći član</w:t>
      </w:r>
      <w:r>
        <w:rPr>
          <w:sz w:val="24"/>
          <w:szCs w:val="24"/>
          <w:lang w:val="sr-CS"/>
        </w:rPr>
        <w:t xml:space="preserve"> ovlašćen da obaveže, primi uputstva za i u ime, ostalih članova, da je izvršenje ugovora, uključujući plaćanja, odgovornost vodećeg člana, i da svi članovi grupe ponuđača moraju ostati u sklopu zajedničk</w:t>
      </w:r>
      <w:r>
        <w:rPr>
          <w:sz w:val="24"/>
          <w:szCs w:val="24"/>
          <w:lang w:val="sr-Latn-CS"/>
        </w:rPr>
        <w:t>e ponude</w:t>
      </w:r>
      <w:r>
        <w:rPr>
          <w:sz w:val="24"/>
          <w:szCs w:val="24"/>
          <w:lang w:val="sr-CS"/>
        </w:rPr>
        <w:t xml:space="preserve"> za sve vreme realizacije ugovora].</w:t>
      </w:r>
    </w:p>
    <w:p>
      <w:pPr>
        <w:pStyle w:val="Normal"/>
        <w:numPr>
          <w:ilvl w:val="0"/>
          <w:numId w:val="2"/>
        </w:numPr>
        <w:spacing w:before="240" w:after="0"/>
        <w:rPr/>
      </w:pPr>
      <w:r>
        <w:rPr>
          <w:sz w:val="24"/>
          <w:szCs w:val="24"/>
          <w:lang w:val="sr-CS"/>
        </w:rPr>
        <w:t>Saglasni smo sa etičkim odredbama iz Uputstva ponuđačima i, konkretno, nemamo sukob interesa niti bilo kakav tome sličan odnos prema ostalim ponuđačima i stranama uključenim u tenderski postupak u vreme dostavljanja ove ponude. Nemamo, na bilo koji način, interes u drugim ponudama u ovom postupku.</w:t>
      </w:r>
    </w:p>
    <w:p>
      <w:pPr>
        <w:pStyle w:val="Normal"/>
        <w:keepNext w:val="true"/>
        <w:keepLines/>
        <w:widowControl w:val="false"/>
        <w:numPr>
          <w:ilvl w:val="0"/>
          <w:numId w:val="2"/>
        </w:numPr>
        <w:spacing w:before="240" w:after="0"/>
        <w:ind w:left="714" w:hanging="357"/>
        <w:rPr/>
      </w:pPr>
      <w:r>
        <w:rPr>
          <w:sz w:val="24"/>
          <w:szCs w:val="24"/>
          <w:lang w:val="sr-CS"/>
        </w:rPr>
        <w:t>Smesta ćemo obavesti naručioca ako dođe do izmena u navedenim okolnostima u bilo kojoj fazi tokom sprovođenja ugovora. Takođe u potpunosti prepoznajemo i prihvatamo da sve netačne i nepotpuno informacije koje se namerno predstave u ovoj ponudi za posledicu mogu imati naše isključivanje iz ovog i drugih ugovora koji se finansiraju sredstvima Razvojne banke Saveta Evrope.</w:t>
      </w:r>
    </w:p>
    <w:p>
      <w:pPr>
        <w:pStyle w:val="Normal"/>
        <w:numPr>
          <w:ilvl w:val="0"/>
          <w:numId w:val="2"/>
        </w:numPr>
        <w:spacing w:before="240" w:after="0"/>
        <w:ind w:left="714" w:hanging="357"/>
        <w:rPr/>
      </w:pPr>
      <w:r>
        <w:rPr>
          <w:sz w:val="24"/>
          <w:szCs w:val="24"/>
          <w:lang w:val="sr-CS"/>
        </w:rPr>
        <w:t>Jasno nam je da ugovorni organ nije obavezan da postupa u skladu sa ovim pozivom na dostavljanje ponuda i da zadržava pravo da dodeli samo deo ugovora. Ukoliko tako postupi, to za nas neće značiti nikakve obaveze.</w:t>
      </w:r>
    </w:p>
    <w:p>
      <w:pPr>
        <w:pStyle w:val="Normal"/>
        <w:numPr>
          <w:ilvl w:val="0"/>
          <w:numId w:val="2"/>
        </w:numPr>
        <w:spacing w:before="240" w:after="0"/>
        <w:jc w:val="left"/>
        <w:rPr/>
      </w:pPr>
      <w:r>
        <w:rPr>
          <w:sz w:val="24"/>
          <w:szCs w:val="24"/>
          <w:lang w:val="sr-CS"/>
        </w:rPr>
        <w:t>Upoznati smo da naši lični podaci mogu biti prosleđeni internoj reviziji, Evropskom sudu revizora, panelu za finansijske nepravilnosti ili Evropskoj kancelariji za borbu protiv prevara.</w:t>
      </w:r>
    </w:p>
    <w:p>
      <w:pPr>
        <w:pStyle w:val="Normal"/>
        <w:ind w:left="567" w:hanging="567"/>
        <w:rPr>
          <w:sz w:val="24"/>
          <w:szCs w:val="24"/>
          <w:lang w:val="sr-CS"/>
        </w:rPr>
      </w:pPr>
      <w:r>
        <w:rPr>
          <w:sz w:val="24"/>
          <w:szCs w:val="24"/>
          <w:lang w:val="sr-CS"/>
        </w:rPr>
      </w:r>
    </w:p>
    <w:p>
      <w:pPr>
        <w:pStyle w:val="Normal"/>
        <w:rPr>
          <w:sz w:val="24"/>
          <w:szCs w:val="24"/>
          <w:lang w:val="sr-CS"/>
        </w:rPr>
      </w:pPr>
      <w:r>
        <w:rPr>
          <w:sz w:val="24"/>
          <w:szCs w:val="24"/>
          <w:lang w:val="sr-CS"/>
        </w:rPr>
      </w:r>
    </w:p>
    <w:p>
      <w:pPr>
        <w:pStyle w:val="Normal"/>
        <w:rPr>
          <w:sz w:val="24"/>
          <w:szCs w:val="24"/>
          <w:lang w:val="sr-CS"/>
        </w:rPr>
      </w:pPr>
      <w:r>
        <w:rPr>
          <w:sz w:val="24"/>
          <w:szCs w:val="24"/>
          <w:lang w:val="sr-CS"/>
        </w:rPr>
      </w:r>
    </w:p>
    <w:p>
      <w:pPr>
        <w:pStyle w:val="Normal"/>
        <w:rPr/>
      </w:pPr>
      <w:r>
        <w:rPr>
          <w:sz w:val="24"/>
          <w:szCs w:val="24"/>
          <w:lang w:val="sr-CS"/>
        </w:rPr>
        <w:t>Prezime i ime:</w:t>
      </w:r>
      <w:r>
        <w:rPr>
          <w:sz w:val="24"/>
          <w:szCs w:val="24"/>
          <w:lang w:val="en-US"/>
        </w:rPr>
        <w:t xml:space="preserve"> […………………………………………………………………]</w:t>
      </w:r>
    </w:p>
    <w:p>
      <w:pPr>
        <w:pStyle w:val="Normal"/>
        <w:rPr>
          <w:sz w:val="24"/>
          <w:szCs w:val="24"/>
          <w:lang w:val="en-US"/>
        </w:rPr>
      </w:pPr>
      <w:r>
        <w:rPr>
          <w:sz w:val="24"/>
          <w:szCs w:val="24"/>
          <w:lang w:val="en-US"/>
        </w:rPr>
      </w:r>
    </w:p>
    <w:p>
      <w:pPr>
        <w:pStyle w:val="Normal"/>
        <w:rPr/>
      </w:pPr>
      <w:r>
        <w:rPr>
          <w:sz w:val="24"/>
          <w:szCs w:val="24"/>
          <w:lang w:val="sr-CS"/>
        </w:rPr>
        <w:t>Ovlašćen da potpiše ovu ponudu u ime:</w:t>
      </w:r>
    </w:p>
    <w:p>
      <w:pPr>
        <w:pStyle w:val="Normal"/>
        <w:rPr/>
      </w:pPr>
      <w:r>
        <w:rPr>
          <w:b/>
          <w:sz w:val="24"/>
          <w:szCs w:val="24"/>
          <w:lang w:val="en-US"/>
        </w:rPr>
        <w:t>[</w:t>
      </w:r>
      <w:r>
        <w:rPr>
          <w:sz w:val="24"/>
          <w:szCs w:val="24"/>
          <w:lang w:val="en-US"/>
        </w:rPr>
        <w:t>……………………………………………………………………………………   …</w:t>
      </w:r>
      <w:r>
        <w:rPr>
          <w:b/>
          <w:sz w:val="24"/>
          <w:szCs w:val="24"/>
          <w:lang w:val="en-US"/>
        </w:rPr>
        <w:t>]</w:t>
      </w:r>
    </w:p>
    <w:p>
      <w:pPr>
        <w:pStyle w:val="Normal"/>
        <w:rPr>
          <w:sz w:val="24"/>
          <w:szCs w:val="24"/>
          <w:lang w:val="en-US"/>
        </w:rPr>
      </w:pPr>
      <w:r>
        <w:rPr>
          <w:sz w:val="24"/>
          <w:szCs w:val="24"/>
          <w:lang w:val="en-US"/>
        </w:rPr>
      </w:r>
    </w:p>
    <w:p>
      <w:pPr>
        <w:pStyle w:val="Normal"/>
        <w:rPr/>
      </w:pPr>
      <w:r>
        <w:rPr>
          <w:sz w:val="24"/>
          <w:szCs w:val="24"/>
          <w:lang w:val="sr-CS"/>
        </w:rPr>
        <w:t>Mesto i datum:</w:t>
      </w:r>
      <w:r>
        <w:rPr>
          <w:sz w:val="24"/>
          <w:szCs w:val="24"/>
          <w:lang w:val="en-US"/>
        </w:rPr>
        <w:t xml:space="preserve"> […………………………………………………………….………….]</w:t>
      </w:r>
    </w:p>
    <w:p>
      <w:pPr>
        <w:pStyle w:val="Normal"/>
        <w:rPr>
          <w:sz w:val="24"/>
          <w:szCs w:val="24"/>
          <w:lang w:val="en-US"/>
        </w:rPr>
      </w:pPr>
      <w:r>
        <w:rPr>
          <w:sz w:val="24"/>
          <w:szCs w:val="24"/>
          <w:lang w:val="en-US"/>
        </w:rPr>
      </w:r>
    </w:p>
    <w:p>
      <w:pPr>
        <w:pStyle w:val="Normal"/>
        <w:rPr/>
      </w:pPr>
      <w:r>
        <w:rPr>
          <w:sz w:val="24"/>
          <w:szCs w:val="24"/>
          <w:lang w:val="sr-CS"/>
        </w:rPr>
        <w:t>Pečat firme/kompanije:</w:t>
      </w:r>
    </w:p>
    <w:p>
      <w:pPr>
        <w:pStyle w:val="Normal"/>
        <w:ind w:left="0" w:hanging="0"/>
        <w:rPr>
          <w:sz w:val="24"/>
          <w:szCs w:val="24"/>
          <w:lang w:val="en-US"/>
        </w:rPr>
      </w:pPr>
      <w:r>
        <w:rPr>
          <w:sz w:val="24"/>
          <w:szCs w:val="24"/>
          <w:lang w:val="en-US"/>
        </w:rPr>
      </w:r>
    </w:p>
    <w:p>
      <w:pPr>
        <w:pStyle w:val="Normal"/>
        <w:rPr/>
      </w:pPr>
      <w:r>
        <w:rPr>
          <w:sz w:val="24"/>
          <w:szCs w:val="24"/>
          <w:lang w:val="sr-CS"/>
        </w:rPr>
        <w:t>Ova ponuda sadrži sledeće anekse:</w:t>
      </w:r>
    </w:p>
    <w:p>
      <w:pPr>
        <w:pStyle w:val="Normal"/>
        <w:rPr>
          <w:sz w:val="24"/>
          <w:szCs w:val="24"/>
          <w:lang w:val="en-US"/>
        </w:rPr>
      </w:pPr>
      <w:r>
        <w:rPr>
          <w:sz w:val="24"/>
          <w:szCs w:val="24"/>
          <w:lang w:val="en-US"/>
        </w:rPr>
      </w:r>
    </w:p>
    <w:p>
      <w:pPr>
        <w:pStyle w:val="Normal"/>
        <w:rPr/>
      </w:pPr>
      <w:r>
        <w:rPr>
          <w:sz w:val="24"/>
          <w:szCs w:val="24"/>
          <w:lang w:val="sr-CS"/>
        </w:rPr>
        <w:t>[</w:t>
      </w:r>
      <w:r>
        <w:rPr>
          <w:i/>
          <w:sz w:val="24"/>
          <w:szCs w:val="24"/>
          <w:lang w:val="sr-CS"/>
        </w:rPr>
        <w:t>Numerisani spisak aneksa sa naslovima</w:t>
      </w:r>
      <w:r>
        <w:rPr>
          <w:sz w:val="24"/>
          <w:szCs w:val="24"/>
          <w:lang w:val="sr-CS"/>
        </w:rPr>
        <w:t>]</w:t>
      </w:r>
      <w:r>
        <w:br w:type="page"/>
      </w:r>
    </w:p>
    <w:p>
      <w:pPr>
        <w:pStyle w:val="Normal"/>
        <w:ind w:left="0" w:hanging="0"/>
        <w:rPr/>
      </w:pPr>
      <w:r>
        <w:rPr>
          <w:b/>
          <w:sz w:val="24"/>
          <w:szCs w:val="24"/>
        </w:rPr>
        <w:t>SPORAZUM O INTEGRITETU</w:t>
      </w:r>
    </w:p>
    <w:p>
      <w:pPr>
        <w:pStyle w:val="Normal"/>
        <w:spacing w:before="60" w:after="60"/>
        <w:ind w:left="0" w:hanging="0"/>
        <w:rPr/>
      </w:pPr>
      <w:r>
        <w:rPr>
          <w:i/>
          <w:sz w:val="24"/>
          <w:szCs w:val="24"/>
          <w:highlight w:val="lightGray"/>
          <w:lang w:val="en-US"/>
        </w:rPr>
        <w:t>Uputstvo za ponuđača, izbrisati pre štampanja</w:t>
      </w:r>
      <w:r>
        <w:rPr>
          <w:i/>
          <w:sz w:val="24"/>
          <w:szCs w:val="24"/>
          <w:highlight w:val="lightGray"/>
        </w:rPr>
        <w:t>: Ukoliko Ponuđač podnosi zajedničku ponudu dužan je da dostavi potpisan i pečatom overen Sporazum o integritetu, za svakog člana grupe ponuđača, u originalu</w:t>
      </w:r>
      <w:r>
        <w:rPr>
          <w:i/>
          <w:sz w:val="24"/>
          <w:szCs w:val="24"/>
          <w:highlight w:val="lightGray"/>
          <w:u w:val="single"/>
          <w:lang w:val="sr-Latn-CS"/>
        </w:rPr>
        <w:t>.</w:t>
      </w:r>
    </w:p>
    <w:p>
      <w:pPr>
        <w:pStyle w:val="Normal"/>
        <w:spacing w:before="120" w:after="120"/>
        <w:ind w:left="0" w:hanging="0"/>
        <w:rPr/>
      </w:pPr>
      <w:r>
        <w:rPr>
          <w:sz w:val="24"/>
          <w:szCs w:val="24"/>
        </w:rPr>
        <w:t>“</w:t>
      </w:r>
      <w:r>
        <w:rPr>
          <w:sz w:val="24"/>
          <w:szCs w:val="24"/>
        </w:rPr>
        <w:t xml:space="preserve">Izjavljujemo i saglasni smo da niti mi, niti bilo koje treće lice, uključujući i naše direktore, zaposlene ili agente koji rade u naše ime po ovlašćenju ili uz naše znanje i sagasnost, ili uz našu pomoć, neće se uključiti ni u kakve nedozvoljene radnje (shodno definiciji u nastavku) u vezi sa tenderskiim postupkom ili u realizaciji ili izvođenju radova, pružanju usluga ili nabavci dobara za </w:t>
      </w:r>
      <w:r>
        <w:rPr>
          <w:sz w:val="24"/>
          <w:szCs w:val="24"/>
          <w:highlight w:val="lightGray"/>
        </w:rPr>
        <w:t>[navesti ugovor ili broj publikacije</w:t>
      </w:r>
      <w:r>
        <w:rPr>
          <w:sz w:val="24"/>
          <w:szCs w:val="24"/>
        </w:rPr>
        <w:t>] (u daljem tekstu „Ugovor“) i saglasni smo da ćemo vas obavestiti ukoliko saznamo za bilo kakav slučaj nedozvoljenih radnji koje vrši bilo koje lice u našoj organizaciji koje je odgovorno za obezbeđivanje poštovanja odredbi iz sporazuma.</w:t>
      </w:r>
    </w:p>
    <w:p>
      <w:pPr>
        <w:pStyle w:val="Normal"/>
        <w:spacing w:before="120" w:after="120"/>
        <w:ind w:left="0" w:hanging="0"/>
        <w:rPr/>
      </w:pPr>
      <w:r>
        <w:rPr>
          <w:sz w:val="24"/>
          <w:szCs w:val="24"/>
        </w:rPr>
        <w:t>Obavezujemo se da ćemo za vreme trajanja tenderskog postupka, ili ukoliko budemo uspešan ponuđač, za vreme trajanja ugovora, imenovati i u našoj organizaciji neprestano imati službenika koji će za vas biti zadovoljavajući izbor i kojem ćete moći neposredno i otvoreno da se obratite, a koji će imati zaduženje i potrebna ovlašćenja da osigura poštovanje sporazuma.</w:t>
      </w:r>
    </w:p>
    <w:p>
      <w:pPr>
        <w:pStyle w:val="Normal"/>
        <w:spacing w:before="120" w:after="120"/>
        <w:ind w:left="0" w:hanging="0"/>
        <w:rPr/>
      </w:pPr>
      <w:r>
        <w:rPr>
          <w:sz w:val="24"/>
          <w:szCs w:val="24"/>
        </w:rPr>
        <w:t>Ukoliko (i) je za nas, nekog od naših direktora, zaposlenih ili agenata koji su radili kako je napred rečeno, donesena sudska odluka za delo koje uključuje nedozvoljene radnje u vezi sa ovim tenderskim postupkom ili izvođenjem radova, pružanjem usluga ili nabavkom dobara u roku od pet godina koje prethode datumu ovog sporazuma, ili (ii) ako je neki od naših direktora, zaposlenih ili agenata bio otpušten sa radnog mesta ili je podneo ostavku na položaj na osnovu vršenja nedozvoljene radnje, ili (iii) ako smo mi, neko od naših direktora, zaposlenih, agenata, gde je to slučaj, koji je vršio nedozvoljene radnje isključen od strane institucije EU ili velike multilateralne razvojne banke (uključujući Svetsku banku, Afričku razvojnu banku, Azijsku razvojnu banku, Evropsku banku za rekonstrukciju i razvoj ili Interameričku razvojnu banku) iz učešća u nekom tnederskom postupku zbog vršenja nedozvoljenih radnji, mi ćemo obezbediti podatke o takvoj presudi, otpuštanju, ostavci ili isključenju, zajedno sa podacima o merama koje smo preduzeli, ili ćemo preduzeti kako bi se osiguralo da niti ova kompanija, kao ni nijedan od naših direktora, zaposlenih ili agenata neće ući u nedozvoljenu radnju u vezi sa ovim ugovorom [navesti detalje, ako je potrebno].</w:t>
      </w:r>
    </w:p>
    <w:p>
      <w:pPr>
        <w:pStyle w:val="Normal"/>
        <w:spacing w:before="120" w:after="120"/>
        <w:ind w:left="0" w:hanging="0"/>
        <w:rPr/>
      </w:pPr>
      <w:r>
        <w:rPr>
          <w:sz w:val="24"/>
          <w:szCs w:val="24"/>
        </w:rPr>
        <w:t>U slučaju da nam bude dodeljen ugovor, Banka za razvoj Saveta Evrope i revizori koje oni postave, imaju pravo da pregledaju našu evidenciju. Prihvatamo da evidenciju vodimo u skladu sa pozitivnim propisima, ali u svakom slučaju najmanje pet godina od dana suštinske realizacije ugovora.”</w:t>
      </w:r>
    </w:p>
    <w:p>
      <w:pPr>
        <w:pStyle w:val="Normal"/>
        <w:spacing w:before="120" w:after="120"/>
        <w:ind w:left="0" w:hanging="0"/>
        <w:rPr/>
      </w:pPr>
      <w:r>
        <w:rPr>
          <w:sz w:val="24"/>
          <w:szCs w:val="24"/>
        </w:rPr>
        <w:t>Za potrebe ovog sporazuma,</w:t>
      </w:r>
    </w:p>
    <w:p>
      <w:pPr>
        <w:pStyle w:val="ListBullet"/>
        <w:numPr>
          <w:ilvl w:val="0"/>
          <w:numId w:val="1"/>
        </w:numPr>
        <w:spacing w:before="120" w:after="120"/>
        <w:ind w:left="284" w:hanging="0"/>
        <w:rPr/>
      </w:pPr>
      <w:r>
        <w:rPr>
          <w:szCs w:val="24"/>
        </w:rPr>
        <w:t>“</w:t>
      </w:r>
      <w:r>
        <w:rPr>
          <w:szCs w:val="24"/>
        </w:rPr>
        <w:t>Koruptivna praksa ” znači nuđenje, davanje, primanje ili traženje posredno ili neposredno bilo kakve vrednosti kojom bi se neprimereno uticalo na radnje druge strane;</w:t>
      </w:r>
    </w:p>
    <w:p>
      <w:pPr>
        <w:pStyle w:val="ListBullet"/>
        <w:numPr>
          <w:ilvl w:val="0"/>
          <w:numId w:val="1"/>
        </w:numPr>
        <w:spacing w:before="120" w:after="120"/>
        <w:ind w:left="284" w:hanging="0"/>
        <w:rPr/>
      </w:pPr>
      <w:r>
        <w:rPr>
          <w:szCs w:val="24"/>
        </w:rPr>
        <w:t>“</w:t>
      </w:r>
      <w:r>
        <w:rPr>
          <w:szCs w:val="24"/>
        </w:rPr>
        <w:t>Prevara”  znači svaki propust, uključujući i pogrešno tumačenje koje  namerno ili usled nemara navodi na pogrešni zaključak ili namerava da navede na pogrešan zaključak stranu kako bi se stekla finansijska ili druga korist ili kako bi se izbegla obaveza;</w:t>
      </w:r>
    </w:p>
    <w:p>
      <w:pPr>
        <w:pStyle w:val="ListBullet"/>
        <w:numPr>
          <w:ilvl w:val="0"/>
          <w:numId w:val="1"/>
        </w:numPr>
        <w:spacing w:before="120" w:after="120"/>
        <w:ind w:left="284" w:hanging="0"/>
        <w:rPr/>
      </w:pPr>
      <w:r>
        <w:rPr>
          <w:szCs w:val="24"/>
        </w:rPr>
        <w:t>“</w:t>
      </w:r>
      <w:r>
        <w:rPr>
          <w:szCs w:val="24"/>
        </w:rPr>
        <w:t>Dogovor” znači pregovaranje između dvaju ili više strana u cilju postizanja neprilične namene, uključujući i neprikaldni uticaj na radnje druge strane;</w:t>
      </w:r>
    </w:p>
    <w:p>
      <w:pPr>
        <w:pStyle w:val="ListBullet"/>
        <w:numPr>
          <w:ilvl w:val="0"/>
          <w:numId w:val="1"/>
        </w:numPr>
        <w:spacing w:before="120" w:after="120"/>
        <w:ind w:left="284" w:hanging="0"/>
        <w:rPr/>
      </w:pPr>
      <w:r>
        <w:rPr>
          <w:szCs w:val="24"/>
        </w:rPr>
        <w:t>“</w:t>
      </w:r>
      <w:r>
        <w:rPr>
          <w:szCs w:val="24"/>
        </w:rPr>
        <w:t>Prinuda ” znači ometanje ili nanošenje povreda, ili pretnju ometanjem ili nanošenjem povreda posredno ili neposredno licu ili imovini lica kako bi se na to lice uticalo da sprovede neprikladne radnje;</w:t>
      </w:r>
    </w:p>
    <w:p>
      <w:pPr>
        <w:pStyle w:val="ListBullet"/>
        <w:numPr>
          <w:ilvl w:val="0"/>
          <w:numId w:val="1"/>
        </w:numPr>
        <w:spacing w:before="120" w:after="120"/>
        <w:ind w:left="284" w:hanging="0"/>
        <w:rPr/>
      </w:pPr>
      <w:r>
        <w:rPr>
          <w:szCs w:val="24"/>
        </w:rPr>
        <w:t>“</w:t>
      </w:r>
      <w:r>
        <w:rPr>
          <w:szCs w:val="24"/>
        </w:rPr>
        <w:t>Nedozvoljena radnja” znači delo korupcije, prevare, dogovora ili prinude.</w:t>
      </w:r>
    </w:p>
    <w:p>
      <w:pPr>
        <w:pStyle w:val="Normal"/>
        <w:spacing w:before="60" w:after="60"/>
        <w:rPr/>
      </w:pPr>
      <w:r>
        <w:rPr>
          <w:sz w:val="24"/>
          <w:szCs w:val="24"/>
        </w:rPr>
        <w:t>S poštovanjem,</w:t>
      </w:r>
    </w:p>
    <w:p>
      <w:pPr>
        <w:pStyle w:val="Normal"/>
        <w:spacing w:before="60" w:after="60"/>
        <w:rPr/>
      </w:pPr>
      <w:r>
        <w:rPr>
          <w:sz w:val="24"/>
          <w:szCs w:val="24"/>
          <w:highlight w:val="lightGray"/>
        </w:rPr>
        <w:t>[Potpis ovlašćenog lica]</w:t>
      </w:r>
    </w:p>
    <w:p>
      <w:pPr>
        <w:pStyle w:val="Normal"/>
        <w:spacing w:before="60" w:after="60"/>
        <w:rPr/>
      </w:pPr>
      <w:r>
        <w:rPr>
          <w:sz w:val="24"/>
          <w:szCs w:val="24"/>
          <w:highlight w:val="yellow"/>
        </w:rPr>
        <w:t>&lt;Ime i pozicija ovlašćenog lica&gt;</w:t>
      </w:r>
    </w:p>
    <w:sectPr>
      <w:footnotePr>
        <w:numFmt w:val="decimal"/>
      </w:footnotePr>
      <w:type w:val="nextPage"/>
      <w:pgSz w:w="11906" w:h="16838"/>
      <w:pgMar w:left="851" w:right="991" w:header="0" w:top="1440" w:footer="0" w:bottom="993"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Symbol">
    <w:charset w:val="ee"/>
    <w:family w:val="roman"/>
    <w:pitch w:val="variable"/>
  </w:font>
  <w:font w:name="Arial">
    <w:charset w:val="ee"/>
    <w:family w:val="roman"/>
    <w:pitch w:val="variable"/>
  </w:font>
  <w:font w:name="Lucida Grande CY">
    <w:charset w:val="ee"/>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text"/>
        <w:spacing w:before="0" w:after="120"/>
        <w:rPr/>
      </w:pPr>
      <w:r>
        <w:rPr>
          <w:rStyle w:val="FootnoteCharacters"/>
        </w:rPr>
        <w:footnoteRef/>
        <w:tab/>
      </w:r>
      <w:r>
        <w:rPr>
          <w:szCs w:val="24"/>
          <w:lang w:val="en-US"/>
        </w:rPr>
        <w:t xml:space="preserve"> </w:t>
      </w:r>
      <w:r>
        <w:rPr>
          <w:szCs w:val="24"/>
          <w:lang w:val="en-US"/>
        </w:rPr>
        <w:tab/>
      </w:r>
      <w:r>
        <w:rPr>
          <w:szCs w:val="24"/>
          <w:lang w:val="sr-CS"/>
        </w:rPr>
        <w:t>Zemlja u kojoj je pravni subjekt registrovan.</w:t>
      </w:r>
    </w:p>
  </w:footnote>
  <w:footnote w:id="3">
    <w:p>
      <w:pPr>
        <w:pStyle w:val="Normal"/>
        <w:ind w:left="284" w:hanging="284"/>
        <w:rPr/>
      </w:pPr>
      <w:r>
        <w:rPr>
          <w:rStyle w:val="FootnoteCharacters"/>
        </w:rPr>
        <w:footnoteRef/>
        <w:tab/>
      </w:r>
      <w:r>
        <w:rPr>
          <w:sz w:val="20"/>
          <w:szCs w:val="24"/>
          <w:lang w:val="en-US"/>
        </w:rPr>
        <w:t xml:space="preserve"> </w:t>
      </w:r>
      <w:r>
        <w:rPr>
          <w:sz w:val="20"/>
          <w:szCs w:val="24"/>
          <w:lang w:val="en-US"/>
        </w:rPr>
        <w:tab/>
      </w:r>
      <w:r>
        <w:rPr>
          <w:sz w:val="20"/>
          <w:szCs w:val="24"/>
          <w:lang w:val="sr-CS"/>
        </w:rPr>
        <w:t>Po potrebi dodati/ukloniti rubrike za članove.</w:t>
      </w:r>
      <w:r>
        <w:rPr>
          <w:sz w:val="20"/>
          <w:szCs w:val="24"/>
          <w:lang w:val="en-US"/>
        </w:rPr>
        <w:t xml:space="preserve"> </w:t>
      </w:r>
      <w:r>
        <w:rPr>
          <w:sz w:val="20"/>
          <w:szCs w:val="24"/>
          <w:lang w:val="sr-CS"/>
        </w:rPr>
        <w:t xml:space="preserve">Imajte na umu da se podizvođači ne smatraju članovima u smislu ovog tenderskog postupka.  </w:t>
      </w:r>
    </w:p>
    <w:p>
      <w:pPr>
        <w:pStyle w:val="Normal"/>
        <w:ind w:left="284" w:hanging="284"/>
        <w:rPr/>
      </w:pPr>
      <w:r>
        <w:rPr>
          <w:sz w:val="20"/>
          <w:szCs w:val="24"/>
          <w:lang w:val="sr-CS"/>
        </w:rPr>
        <w:tab/>
        <w:t>Ako ponudu podnosi samostalni ponuđač, njegov naziv se upisuje kao '</w:t>
      </w:r>
      <w:r>
        <w:rPr>
          <w:sz w:val="20"/>
          <w:szCs w:val="24"/>
          <w:lang w:val="sr-Latn-CS"/>
        </w:rPr>
        <w:t>Ponuđač</w:t>
      </w:r>
      <w:r>
        <w:rPr>
          <w:sz w:val="20"/>
          <w:szCs w:val="24"/>
          <w:lang w:val="sr-CS"/>
        </w:rPr>
        <w:t xml:space="preserve">' (ostale rubrike se brišu). </w:t>
      </w:r>
    </w:p>
    <w:p>
      <w:pPr>
        <w:pStyle w:val="Normal"/>
        <w:ind w:left="284" w:hanging="284"/>
        <w:rPr/>
      </w:pPr>
      <w:r>
        <w:rPr>
          <w:sz w:val="20"/>
          <w:szCs w:val="24"/>
          <w:lang w:val="sr-CS"/>
        </w:rPr>
        <w:tab/>
        <w:t>Ako ponudu podnosi grupa ponuđača, umesto reči «</w:t>
      </w:r>
      <w:r>
        <w:rPr>
          <w:sz w:val="20"/>
          <w:szCs w:val="24"/>
          <w:lang w:val="sr-Latn-CS"/>
        </w:rPr>
        <w:t>Ponuđač</w:t>
      </w:r>
      <w:r>
        <w:rPr>
          <w:sz w:val="20"/>
          <w:szCs w:val="24"/>
          <w:lang w:val="sr-CS"/>
        </w:rPr>
        <w:t>» upisati «</w:t>
      </w:r>
      <w:r>
        <w:rPr>
          <w:sz w:val="20"/>
          <w:szCs w:val="24"/>
          <w:lang w:val="sr-Latn-CS"/>
        </w:rPr>
        <w:t>Vodeći član</w:t>
      </w:r>
      <w:r>
        <w:rPr>
          <w:sz w:val="20"/>
          <w:szCs w:val="24"/>
          <w:lang w:val="sr-CS"/>
        </w:rPr>
        <w:t>».</w:t>
      </w:r>
    </w:p>
    <w:p>
      <w:pPr>
        <w:pStyle w:val="Normal"/>
        <w:spacing w:before="0" w:after="120"/>
        <w:ind w:left="284" w:hanging="284"/>
        <w:rPr/>
      </w:pPr>
      <w:r>
        <w:rP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283"/>
        </w:tabs>
        <w:ind w:left="283" w:hanging="283"/>
      </w:pPr>
      <w:rPr>
        <w:rFonts w:ascii="Symbol" w:hAnsi="Symbol" w:cs="Symbol" w:hint="default"/>
        <w:rFonts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
      <w:lvlJc w:val="left"/>
      <w:pPr>
        <w:tabs>
          <w:tab w:val="num" w:pos="720"/>
        </w:tabs>
        <w:ind w:left="720" w:hanging="360"/>
      </w:pPr>
      <w:rPr>
        <w:sz w:val="20"/>
        <w:i w:val="false"/>
        <w:b w:val="false"/>
        <w:szCs w:val="20"/>
        <w:rFonts w:cs="Times New Roman"/>
        <w:lang w:val="sr-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embedSystemFonts/>
  <w:defaultTabStop w:val="720"/>
  <w:autoHyphenation w:val="fals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120"/>
      <w:ind w:left="567" w:hanging="0"/>
      <w:jc w:val="both"/>
    </w:pPr>
    <w:rPr>
      <w:rFonts w:ascii="Times New Roman" w:hAnsi="Times New Roman" w:eastAsia="Times New Roman" w:cs="Times New Roman"/>
      <w:color w:val="auto"/>
      <w:sz w:val="22"/>
      <w:szCs w:val="20"/>
      <w:lang w:val="en-GB" w:eastAsia="zh-CN" w:bidi="ar-SA"/>
    </w:rPr>
  </w:style>
  <w:style w:type="character" w:styleId="DefaultParagraphFont" w:default="1">
    <w:name w:val="Default Paragraph Font"/>
    <w:uiPriority w:val="1"/>
    <w:semiHidden/>
    <w:unhideWhenUsed/>
    <w:qFormat/>
    <w:rPr/>
  </w:style>
  <w:style w:type="character" w:styleId="WW8Num1z0" w:customStyle="1">
    <w:name w:val="WW8Num1z0"/>
    <w:qFormat/>
    <w:rPr>
      <w:rFonts w:ascii="Symbol" w:hAnsi="Symbol" w:cs="Symbol"/>
    </w:rPr>
  </w:style>
  <w:style w:type="character" w:styleId="WW8Num2z0" w:customStyle="1">
    <w:name w:val="WW8Num2z0"/>
    <w:qFormat/>
    <w:rPr>
      <w:rFonts w:cs="Times New Roman"/>
      <w:b w:val="false"/>
      <w:i w:val="false"/>
      <w:sz w:val="20"/>
      <w:szCs w:val="20"/>
      <w:lang w:val="sr-CS"/>
    </w:rPr>
  </w:style>
  <w:style w:type="character" w:styleId="WW8Num3z0" w:customStyle="1">
    <w:name w:val="WW8Num3z0"/>
    <w:qFormat/>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2z1" w:customStyle="1">
    <w:name w:val="WW8Num2z1"/>
    <w:qFormat/>
    <w:rPr>
      <w:rFonts w:cs="Times New Roman"/>
    </w:rPr>
  </w:style>
  <w:style w:type="character" w:styleId="FootnoteTextChar" w:customStyle="1">
    <w:name w:val="Footnote Text Char"/>
    <w:qFormat/>
    <w:rPr>
      <w:rFonts w:ascii="Times New Roman" w:hAnsi="Times New Roman" w:eastAsia="Times New Roman" w:cs="Times New Roman"/>
      <w:sz w:val="20"/>
      <w:szCs w:val="20"/>
    </w:rPr>
  </w:style>
  <w:style w:type="character" w:styleId="FootnoteCharacters" w:customStyle="1">
    <w:name w:val="Footnote Characters"/>
    <w:qFormat/>
    <w:rPr>
      <w:rFonts w:cs="Times New Roman"/>
      <w:vertAlign w:val="superscript"/>
    </w:rPr>
  </w:style>
  <w:style w:type="character" w:styleId="TitleChar" w:customStyle="1">
    <w:name w:val="Title Char"/>
    <w:qFormat/>
    <w:rPr>
      <w:rFonts w:ascii="Arial" w:hAnsi="Arial" w:eastAsia="Times New Roman" w:cs="Times New Roman"/>
      <w:b/>
      <w:sz w:val="28"/>
      <w:szCs w:val="20"/>
      <w:lang w:val="fr-BE"/>
    </w:rPr>
  </w:style>
  <w:style w:type="character" w:styleId="Annotationreference">
    <w:name w:val="annotation reference"/>
    <w:qFormat/>
    <w:rPr>
      <w:sz w:val="18"/>
      <w:szCs w:val="18"/>
    </w:rPr>
  </w:style>
  <w:style w:type="character" w:styleId="CommentTextChar" w:customStyle="1">
    <w:name w:val="Comment Text Char"/>
    <w:qFormat/>
    <w:rPr>
      <w:rFonts w:ascii="Times New Roman" w:hAnsi="Times New Roman" w:eastAsia="Times New Roman" w:cs="Times New Roman"/>
      <w:sz w:val="24"/>
      <w:szCs w:val="24"/>
    </w:rPr>
  </w:style>
  <w:style w:type="character" w:styleId="CommentSubjectChar" w:customStyle="1">
    <w:name w:val="Comment Subject Char"/>
    <w:qFormat/>
    <w:rPr>
      <w:rFonts w:ascii="Times New Roman" w:hAnsi="Times New Roman" w:eastAsia="Times New Roman" w:cs="Times New Roman"/>
      <w:b/>
      <w:bCs/>
      <w:sz w:val="20"/>
      <w:szCs w:val="20"/>
    </w:rPr>
  </w:style>
  <w:style w:type="character" w:styleId="BalloonTextChar" w:customStyle="1">
    <w:name w:val="Balloon Text Char"/>
    <w:qFormat/>
    <w:rPr>
      <w:rFonts w:ascii="Lucida Grande CY" w:hAnsi="Lucida Grande CY" w:eastAsia="Times New Roman" w:cs="Lucida Grande CY"/>
      <w:sz w:val="18"/>
      <w:szCs w:val="18"/>
    </w:rPr>
  </w:style>
  <w:style w:type="character" w:styleId="Footnotereference">
    <w:name w:val="footnote reference"/>
    <w:qFormat/>
    <w:rPr>
      <w:vertAlign w:val="superscript"/>
    </w:rPr>
  </w:style>
  <w:style w:type="character" w:styleId="EndnoteCharacters" w:customStyle="1">
    <w:name w:val="Endnote Characters"/>
    <w:qFormat/>
    <w:rPr>
      <w:vertAlign w:val="superscript"/>
    </w:rPr>
  </w:style>
  <w:style w:type="character" w:styleId="WWEndnoteCharacters" w:customStyle="1">
    <w:name w:val="WW-Endnote Characters"/>
    <w:qFormat/>
    <w:rPr/>
  </w:style>
  <w:style w:type="character" w:styleId="Endnotereference">
    <w:name w:val="endnote reference"/>
    <w:qFormat/>
    <w:rPr>
      <w:vertAlign w:val="superscript"/>
    </w:rPr>
  </w:style>
  <w:style w:type="character" w:styleId="ListLabel1">
    <w:name w:val="ListLabel 1"/>
    <w:qFormat/>
    <w:rPr>
      <w:rFonts w:cs="Symbol"/>
    </w:rPr>
  </w:style>
  <w:style w:type="character" w:styleId="ListLabel2">
    <w:name w:val="ListLabel 2"/>
    <w:qFormat/>
    <w:rPr>
      <w:rFonts w:cs="Times New Roman"/>
      <w:b w:val="false"/>
      <w:i w:val="false"/>
      <w:sz w:val="20"/>
      <w:szCs w:val="20"/>
      <w:lang w:val="sr-CS"/>
    </w:rPr>
  </w:style>
  <w:style w:type="character" w:styleId="FootnoteAnchor">
    <w:name w:val="Footnote Anchor"/>
    <w:rPr>
      <w:vertAlign w:val="superscript"/>
    </w:rPr>
  </w:style>
  <w:style w:type="character" w:styleId="EndnoteAnchor">
    <w:name w:val="Endnote Anchor"/>
    <w:rPr>
      <w:vertAlign w:val="superscript"/>
    </w:rPr>
  </w:style>
  <w:style w:type="paragraph" w:styleId="Heading" w:customStyle="1">
    <w:name w:val="Heading"/>
    <w:basedOn w:val="Normal"/>
    <w:next w:val="TextBody"/>
    <w:qFormat/>
    <w:pPr>
      <w:spacing w:before="120" w:after="120"/>
      <w:jc w:val="center"/>
    </w:pPr>
    <w:rPr>
      <w:rFonts w:ascii="Arial" w:hAnsi="Arial" w:cs="Arial"/>
      <w:b/>
      <w:sz w:val="28"/>
      <w:lang w:val="fr-BE"/>
    </w:rPr>
  </w:style>
  <w:style w:type="paragraph" w:styleId="TextBody">
    <w:name w:val="Body Text"/>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customStyle="1">
    <w:name w:val="Index"/>
    <w:basedOn w:val="Normal"/>
    <w:qFormat/>
    <w:pPr>
      <w:suppressLineNumbers/>
    </w:pPr>
    <w:rPr>
      <w:rFonts w:cs="Mangal"/>
    </w:rPr>
  </w:style>
  <w:style w:type="paragraph" w:styleId="Caption1">
    <w:name w:val="caption"/>
    <w:basedOn w:val="Normal"/>
    <w:qFormat/>
    <w:pPr>
      <w:suppressLineNumbers/>
      <w:spacing w:before="120" w:after="120"/>
    </w:pPr>
    <w:rPr>
      <w:rFonts w:cs="Mangal"/>
      <w:i/>
      <w:iCs/>
      <w:sz w:val="24"/>
      <w:szCs w:val="24"/>
    </w:rPr>
  </w:style>
  <w:style w:type="paragraph" w:styleId="Footnotetext">
    <w:name w:val="footnote text"/>
    <w:basedOn w:val="Normal"/>
    <w:qFormat/>
    <w:pPr>
      <w:ind w:left="284" w:hanging="284"/>
    </w:pPr>
    <w:rPr>
      <w:sz w:val="20"/>
      <w:lang w:val="x-none"/>
    </w:rPr>
  </w:style>
  <w:style w:type="paragraph" w:styleId="Blockquote" w:customStyle="1">
    <w:name w:val="Blockquote"/>
    <w:basedOn w:val="Normal"/>
    <w:qFormat/>
    <w:pPr>
      <w:widowControl w:val="false"/>
      <w:spacing w:before="100" w:after="100"/>
      <w:ind w:left="360" w:right="360" w:hanging="0"/>
    </w:pPr>
    <w:rPr/>
  </w:style>
  <w:style w:type="paragraph" w:styleId="ListBullet">
    <w:name w:val="List Bullet"/>
    <w:basedOn w:val="Normal"/>
    <w:qFormat/>
    <w:pPr>
      <w:spacing w:before="0" w:after="240"/>
    </w:pPr>
    <w:rPr>
      <w:sz w:val="24"/>
      <w:lang w:val="sr-CS"/>
    </w:rPr>
  </w:style>
  <w:style w:type="paragraph" w:styleId="Annotationtext">
    <w:name w:val="annotation text"/>
    <w:basedOn w:val="Normal"/>
    <w:qFormat/>
    <w:pPr/>
    <w:rPr>
      <w:sz w:val="24"/>
      <w:szCs w:val="24"/>
      <w:lang w:val="x-none"/>
    </w:rPr>
  </w:style>
  <w:style w:type="paragraph" w:styleId="Annotationsubject">
    <w:name w:val="annotation subject"/>
    <w:basedOn w:val="Annotationtext"/>
    <w:qFormat/>
    <w:pPr/>
    <w:rPr>
      <w:b/>
      <w:bCs/>
      <w:sz w:val="20"/>
      <w:szCs w:val="20"/>
    </w:rPr>
  </w:style>
  <w:style w:type="paragraph" w:styleId="BalloonText">
    <w:name w:val="Balloon Text"/>
    <w:basedOn w:val="Normal"/>
    <w:qFormat/>
    <w:pPr>
      <w:spacing w:before="0" w:after="0"/>
    </w:pPr>
    <w:rPr>
      <w:rFonts w:ascii="Lucida Grande CY" w:hAnsi="Lucida Grande CY" w:cs="Lucida Grande CY"/>
      <w:sz w:val="18"/>
      <w:szCs w:val="18"/>
      <w:lang w:val="x-none"/>
    </w:rPr>
  </w:style>
  <w:style w:type="paragraph" w:styleId="TableContents" w:customStyle="1">
    <w:name w:val="Table Contents"/>
    <w:basedOn w:val="Normal"/>
    <w:qFormat/>
    <w:pPr>
      <w:suppressLineNumbers/>
    </w:pPr>
    <w:rPr/>
  </w:style>
  <w:style w:type="paragraph" w:styleId="TableHeading" w:customStyle="1">
    <w:name w:val="Table Heading"/>
    <w:basedOn w:val="TableContents"/>
    <w:qFormat/>
    <w:pPr>
      <w:jc w:val="center"/>
    </w:pPr>
    <w:rPr>
      <w:b/>
      <w:bCs/>
    </w:rPr>
  </w:style>
  <w:style w:type="paragraph" w:styleId="Footnote">
    <w:name w:val="Footnote Text"/>
    <w:basedOn w:val="Normal"/>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notes" Target="footnote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Application>LibreOffice/5.3.6.1$Windows_x86 LibreOffice_project/686f202eff87ef707079aeb7f485847613344eb7</Application>
  <Pages>5</Pages>
  <Words>1456</Words>
  <Characters>8450</Characters>
  <CharactersWithSpaces>9845</CharactersWithSpaces>
  <Paragraphs>65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2019-05-13T10:41:00Z</dcterms:created>
  <dc:creator>Djordje Belenzada</dc:creator>
  <dc:description/>
  <dc:language>sr-Latn-CS</dc:language>
  <cp:lastModifiedBy/>
  <cp:lastPrinted>1601-01-01T00:00:00Z</cp:lastPrinted>
  <dcterms:modified xsi:type="dcterms:W3CDTF">2019-05-15T07:51:33Z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