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198"/>
      </w:tblGrid>
      <w:tr>
        <w:trPr>
          <w:trHeight w:val="800" w:hRule="atLeast"/>
        </w:trPr>
        <w:tc>
          <w:tcPr>
            <w:tcW w:w="9198" w:type="dxa"/>
            <w:tcBorders/>
            <w:shd w:fill="auto" w:val="clear"/>
            <w:vAlign w:val="center"/>
          </w:tcPr>
          <w:p>
            <w:pPr>
              <w:pStyle w:val="Subtitle"/>
              <w:rPr>
                <w:lang w:eastAsia="en-US"/>
              </w:rPr>
            </w:pPr>
            <w:r>
              <w:rPr>
                <w:lang w:eastAsia="en-US"/>
              </w:rPr>
              <w:t>O</w:t>
            </w:r>
            <w:bookmarkStart w:id="0" w:name="_Toc333242830"/>
            <w:bookmarkEnd w:id="0"/>
            <w:r>
              <w:rPr>
                <w:lang w:eastAsia="en-US"/>
              </w:rPr>
              <w:t>brazac ispunjenosti uslova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jc w:val="right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right"/>
        <w:rPr/>
      </w:pPr>
      <w:r>
        <w:rPr/>
      </w:r>
    </w:p>
    <w:p>
      <w:pPr>
        <w:pStyle w:val="Contents1"/>
        <w:rPr>
          <w:rFonts w:ascii="Calibri" w:hAnsi="Calibri" w:eastAsia="MS Mincho"/>
          <w:b w:val="false"/>
          <w:b w:val="false"/>
          <w:bCs w:val="false"/>
          <w:sz w:val="22"/>
          <w:szCs w:val="22"/>
          <w:lang w:eastAsia="sr-Latn-CS"/>
        </w:rPr>
      </w:pPr>
      <w:r>
        <w:fldChar w:fldCharType="begin"/>
      </w:r>
      <w:r>
        <w:instrText> TOC \t "Section VI. Header,1" \h</w:instrText>
      </w:r>
      <w:r>
        <w:fldChar w:fldCharType="separate"/>
      </w:r>
      <w:r>
        <w:rPr/>
        <w:t>1. Prateće usluge i raspored isporučivanja</w:t>
        <w:tab/>
        <w:t>2</w:t>
      </w:r>
    </w:p>
    <w:p>
      <w:pPr>
        <w:pStyle w:val="Contents1"/>
        <w:rPr>
          <w:rFonts w:ascii="Calibri" w:hAnsi="Calibri" w:eastAsia="MS Mincho"/>
          <w:b w:val="false"/>
          <w:b w:val="false"/>
          <w:bCs w:val="false"/>
          <w:sz w:val="22"/>
          <w:szCs w:val="22"/>
          <w:lang w:eastAsia="sr-Latn-CS"/>
        </w:rPr>
      </w:pPr>
      <w:r>
        <w:rPr/>
        <w:t>2. Tehničke specifikacije</w:t>
        <w:tab/>
        <w:t>3</w:t>
      </w:r>
    </w:p>
    <w:p>
      <w:pPr>
        <w:pStyle w:val="Contents1"/>
        <w:rPr>
          <w:rFonts w:ascii="Calibri" w:hAnsi="Calibri" w:eastAsia="MS Mincho"/>
          <w:b w:val="false"/>
          <w:b w:val="false"/>
          <w:bCs w:val="false"/>
          <w:sz w:val="22"/>
          <w:szCs w:val="22"/>
          <w:lang w:eastAsia="sr-Latn-CS"/>
        </w:rPr>
      </w:pPr>
      <w:r>
        <w:rPr/>
        <w:t>3. Opšti tehnički uslovi</w:t>
        <w:tab/>
        <w:t>4</w:t>
      </w:r>
    </w:p>
    <w:p>
      <w:pPr>
        <w:pStyle w:val="Contents1"/>
        <w:rPr>
          <w:b w:val="false"/>
          <w:b w:val="false"/>
          <w:bCs w:val="false"/>
          <w:lang w:val="en-GB"/>
        </w:rPr>
      </w:pPr>
      <w:r>
        <w:rPr>
          <w:b w:val="false"/>
          <w:bCs w:val="false"/>
          <w:lang w:val="en-GB"/>
        </w:rPr>
      </w:r>
      <w:r>
        <w:fldChar w:fldCharType="end"/>
      </w:r>
    </w:p>
    <w:p>
      <w:pPr>
        <w:pStyle w:val="SectionVIHeader"/>
        <w:rPr/>
      </w:pPr>
      <w:bookmarkStart w:id="1" w:name="_Toc333312138"/>
      <w:bookmarkEnd w:id="1"/>
      <w:r>
        <w:rPr/>
        <w:t>1. Prateće usluge i raspored isporučivanja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2258" w:type="dxa"/>
        <w:jc w:val="center"/>
        <w:tblInd w:w="0" w:type="dxa"/>
        <w:tblBorders>
          <w:top w:val="double" w:sz="4" w:space="0" w:color="00000A"/>
          <w:left w:val="doub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57"/>
        <w:gridCol w:w="10621"/>
        <w:gridCol w:w="1080"/>
      </w:tblGrid>
      <w:tr>
        <w:trPr>
          <w:trHeight w:val="1104" w:hRule="atLeast"/>
          <w:cantSplit w:val="true"/>
        </w:trPr>
        <w:tc>
          <w:tcPr>
            <w:tcW w:w="557" w:type="dxa"/>
            <w:tcBorders>
              <w:top w:val="double" w:sz="4" w:space="0" w:color="00000A"/>
              <w:left w:val="doub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D9D9D9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0621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D9D9D9" w:val="clear"/>
            <w:tcMar>
              <w:left w:w="11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080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double" w:sz="4" w:space="0" w:color="00000A"/>
              <w:insideH w:val="single" w:sz="6" w:space="0" w:color="00000A"/>
              <w:insideV w:val="double" w:sz="4" w:space="0" w:color="00000A"/>
            </w:tcBorders>
            <w:shd w:color="auto" w:fill="D9D9D9" w:val="clear"/>
            <w:tcMar>
              <w:left w:w="11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Sve partije</w:t>
            </w:r>
          </w:p>
        </w:tc>
      </w:tr>
      <w:tr>
        <w:trPr>
          <w:trHeight w:val="378" w:hRule="atLeast"/>
          <w:cantSplit w:val="true"/>
        </w:trPr>
        <w:tc>
          <w:tcPr>
            <w:tcW w:w="557" w:type="dxa"/>
            <w:tcBorders>
              <w:top w:val="single" w:sz="6" w:space="0" w:color="00000A"/>
              <w:left w:val="doub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/>
            </w:pPr>
            <w:r>
              <w:rPr/>
              <w:t xml:space="preserve">Krajnji rok za isporuku materijala u slučaju da nije tražen avans </w:t>
            </w:r>
            <w:r>
              <w:rPr>
                <w:color w:val="000000"/>
              </w:rPr>
              <w:t>iznosi 200 dana, odnosno 230 dana u slučaju da je tražen avans, od dana zaklju</w:t>
            </w:r>
            <w:r>
              <w:rPr>
                <w:color w:val="000000"/>
                <w:lang w:val="sr-Latn-RS"/>
              </w:rPr>
              <w:t>čenja ugovora</w:t>
            </w:r>
            <w:r>
              <w:rPr>
                <w:color w:val="000000"/>
              </w:rPr>
              <w:t>, u skladu</w:t>
            </w:r>
            <w:bookmarkStart w:id="2" w:name="_GoBack"/>
            <w:bookmarkEnd w:id="2"/>
            <w:r>
              <w:rPr>
                <w:color w:val="000000"/>
              </w:rPr>
              <w:t xml:space="preserve"> sa dinamikom</w:t>
            </w:r>
            <w:r>
              <w:rPr>
                <w:color w:val="000000"/>
                <w:sz w:val="22"/>
                <w:szCs w:val="22"/>
              </w:rPr>
              <w:t xml:space="preserve"> predviđenom u Projektnom zadatku građevinskog materijala -Termin plan. </w:t>
            </w:r>
            <w:r>
              <w:rPr>
                <w:color w:val="000000"/>
              </w:rPr>
              <w:t>(u danima)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4" w:space="0" w:color="00000A"/>
              <w:insideH w:val="single" w:sz="6" w:space="0" w:color="00000A"/>
              <w:insideV w:val="double" w:sz="4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200 (230)</w:t>
            </w:r>
          </w:p>
        </w:tc>
      </w:tr>
      <w:tr>
        <w:trPr>
          <w:trHeight w:val="342" w:hRule="atLeast"/>
          <w:cantSplit w:val="true"/>
        </w:trPr>
        <w:tc>
          <w:tcPr>
            <w:tcW w:w="557" w:type="dxa"/>
            <w:tcBorders>
              <w:top w:val="single" w:sz="6" w:space="0" w:color="00000A"/>
              <w:left w:val="doub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>Minimalna proizvođačka garancija (u godinama)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4" w:space="0" w:color="00000A"/>
              <w:insideH w:val="single" w:sz="6" w:space="0" w:color="00000A"/>
              <w:insideV w:val="double" w:sz="4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</w:tr>
      <w:tr>
        <w:trPr>
          <w:trHeight w:val="342" w:hRule="atLeast"/>
          <w:cantSplit w:val="true"/>
        </w:trPr>
        <w:tc>
          <w:tcPr>
            <w:tcW w:w="557" w:type="dxa"/>
            <w:tcBorders>
              <w:top w:val="single" w:sz="6" w:space="0" w:color="00000A"/>
              <w:left w:val="double" w:sz="4" w:space="0" w:color="00000A"/>
              <w:bottom w:val="double" w:sz="4" w:space="0" w:color="00000A"/>
              <w:right w:val="single" w:sz="6" w:space="0" w:color="00000A"/>
              <w:insideH w:val="double" w:sz="4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21" w:type="dxa"/>
            <w:tcBorders>
              <w:top w:val="single" w:sz="6" w:space="0" w:color="00000A"/>
              <w:left w:val="single" w:sz="6" w:space="0" w:color="00000A"/>
              <w:bottom w:val="double" w:sz="4" w:space="0" w:color="00000A"/>
              <w:right w:val="single" w:sz="6" w:space="0" w:color="00000A"/>
              <w:insideH w:val="double" w:sz="4" w:space="0" w:color="00000A"/>
              <w:insideV w:val="single" w:sz="6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Maksimalni period zamene polomljenih ili oštećenih delova (u danima)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double" w:sz="4" w:space="0" w:color="00000A"/>
              <w:right w:val="double" w:sz="4" w:space="0" w:color="00000A"/>
              <w:insideH w:val="double" w:sz="4" w:space="0" w:color="00000A"/>
              <w:insideV w:val="double" w:sz="4" w:space="0" w:color="00000A"/>
            </w:tcBorders>
            <w:shd w:fill="auto" w:val="clear"/>
            <w:tcMar>
              <w:left w:w="114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</w:t>
            </w:r>
          </w:p>
        </w:tc>
      </w:tr>
    </w:tbl>
    <w:p>
      <w:pPr>
        <w:sectPr>
          <w:footerReference w:type="default" r:id="rId2"/>
          <w:type w:val="nextPage"/>
          <w:pgSz w:w="12240" w:h="15840"/>
          <w:pgMar w:left="1412" w:right="1440" w:header="0" w:top="1412" w:footer="720" w:bottom="1411" w:gutter="0"/>
          <w:pgNumType w:fmt="decimal"/>
          <w:formProt w:val="false"/>
          <w:textDirection w:val="lrTb"/>
          <w:docGrid w:type="default" w:linePitch="326" w:charSpace="4294961151"/>
        </w:sectPr>
        <w:pStyle w:val="Normal"/>
        <w:rPr/>
      </w:pPr>
      <w:r>
        <w:rPr/>
        <w:t xml:space="preserve">     </w:t>
      </w:r>
    </w:p>
    <w:p>
      <w:pPr>
        <w:pStyle w:val="SectionVIHeader"/>
        <w:rPr/>
      </w:pPr>
      <w:bookmarkStart w:id="3" w:name="_Toc333312139"/>
      <w:bookmarkEnd w:id="3"/>
      <w:r>
        <w:rPr/>
        <w:t>2. Tehničke specifikacije</w:t>
      </w:r>
    </w:p>
    <w:p>
      <w:pPr>
        <w:pStyle w:val="Normal"/>
        <w:suppressAutoHyphens w:val="true"/>
        <w:jc w:val="both"/>
        <w:rPr/>
      </w:pPr>
      <w:r>
        <w:rPr/>
      </w:r>
    </w:p>
    <w:p>
      <w:pPr>
        <w:pStyle w:val="Normal"/>
        <w:jc w:val="both"/>
        <w:rPr>
          <w:iCs/>
        </w:rPr>
      </w:pPr>
      <w:r>
        <w:rPr/>
        <w:t xml:space="preserve">Cilj tehničkih specifikacija (TS) je da se definišu tehničke karakteristike dobara i prateće usluge koje naručilac zahteva. </w:t>
      </w:r>
    </w:p>
    <w:p>
      <w:pPr>
        <w:pStyle w:val="Normal"/>
        <w:jc w:val="both"/>
        <w:rPr>
          <w:iCs/>
        </w:rPr>
      </w:pPr>
      <w:r>
        <w:rPr>
          <w:iCs/>
        </w:rPr>
      </w:r>
    </w:p>
    <w:p>
      <w:pPr>
        <w:pStyle w:val="Normal"/>
        <w:jc w:val="both"/>
        <w:rPr>
          <w:iCs/>
        </w:rPr>
      </w:pPr>
      <w:r>
        <w:rPr/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>
      <w:pPr>
        <w:pStyle w:val="Normal"/>
        <w:jc w:val="both"/>
        <w:rPr>
          <w:iCs/>
        </w:rPr>
      </w:pPr>
      <w:r>
        <w:rPr/>
        <w:t xml:space="preserve"> </w:t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  <w:t>Tabele tehničkih specifikacija svih stavki koje su predmet nabavke date su kao poseban excel fajl – Aneks 2: Struktura količina za materijal.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  <w:t>Sve strane Obrasca u koje se unose podaci, lice ovlašćeno za podnošenje ponude je dužno da potpiše i overi.</w:t>
      </w:r>
      <w:r>
        <w:br w:type="page"/>
      </w:r>
    </w:p>
    <w:p>
      <w:pPr>
        <w:pStyle w:val="SectionVIHeader"/>
        <w:rPr/>
      </w:pPr>
      <w:r>
        <w:rPr/>
        <w:t xml:space="preserve">3. </w:t>
      </w:r>
      <w:bookmarkStart w:id="4" w:name="_Toc333312140"/>
      <w:r>
        <w:rPr/>
        <w:t xml:space="preserve">Opšti tehnički uslovi - specifikacije za </w:t>
      </w:r>
      <w:bookmarkEnd w:id="4"/>
      <w:r>
        <w:rPr/>
        <w:t>građevinski materijal</w:t>
      </w:r>
    </w:p>
    <w:p>
      <w:pPr>
        <w:pStyle w:val="SectionVIHeader"/>
        <w:jc w:val="both"/>
        <w:rPr>
          <w:b w:val="false"/>
          <w:b w:val="false"/>
          <w:sz w:val="24"/>
          <w:szCs w:val="24"/>
          <w:u w:val="single"/>
        </w:rPr>
      </w:pPr>
      <w:r>
        <w:rPr>
          <w:b w:val="false"/>
          <w:sz w:val="24"/>
          <w:szCs w:val="24"/>
          <w:u w:val="single"/>
        </w:rPr>
      </w:r>
    </w:p>
    <w:p>
      <w:pPr>
        <w:pStyle w:val="SectionVIHeader"/>
        <w:jc w:val="both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  <w:u w:val="single"/>
        </w:rPr>
        <w:t>Opšti tehnički zahtevi za građevinski materijal</w:t>
      </w:r>
    </w:p>
    <w:p>
      <w:pPr>
        <w:pStyle w:val="SectionVIHeader"/>
        <w:jc w:val="both"/>
        <w:rPr>
          <w:sz w:val="24"/>
          <w:szCs w:val="24"/>
        </w:rPr>
      </w:pPr>
      <w:r>
        <w:rPr>
          <w:sz w:val="24"/>
          <w:szCs w:val="24"/>
        </w:rPr>
        <w:t>Tabela sa tehničkim standardima i zahtevima za građevinski materijal za sve stavke koje čine predmetnu nabavku priložena je kao poseban deo – Aneks 1: Tehnički zahtevi i standardi.</w:t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w="12240" w:h="15840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t xml:space="preserve">Strana  </w:t>
    </w:r>
    <w:r>
      <w:rPr>
        <w:lang w:val="sr-Latn-RS"/>
      </w:rPr>
      <w:t>1</w:t>
    </w:r>
    <w:r>
      <w:rPr/>
      <w:t xml:space="preserve">od </w:t>
    </w:r>
    <w:r>
      <w:rPr>
        <w:lang w:val="sr-Latn-RS"/>
      </w:rPr>
      <w:t>4</w:t>
    </w:r>
    <w:r>
      <w:rPr/>
      <w:t xml:space="preserve"> </w:t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t xml:space="preserve">Strana  </w:t>
    </w:r>
    <w:r>
      <w:rPr>
        <w:lang w:val="sr-Latn-RS"/>
      </w:rPr>
      <w:t xml:space="preserve">od </w:t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96"/>
  <w:defaultTabStop w:val="720"/>
  <w:compat>
    <w:compatSetting w:name="compatibilityMode" w:uri="http://schemas.microsoft.com/office/word" w:val="15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6be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itleChar" w:customStyle="1">
    <w:name w:val="Subtitle Char"/>
    <w:link w:val="Subtitle"/>
    <w:qFormat/>
    <w:rsid w:val="00ba6be3"/>
    <w:rPr>
      <w:rFonts w:ascii="Times New Roman" w:hAnsi="Times New Roman" w:eastAsia="Times New Roman" w:cs="Times New Roman"/>
      <w:b/>
      <w:bCs/>
      <w:sz w:val="44"/>
      <w:szCs w:val="44"/>
      <w:lang w:val="sr-Latn-CS"/>
    </w:rPr>
  </w:style>
  <w:style w:type="character" w:styleId="HeaderChar" w:customStyle="1">
    <w:name w:val="Header Char"/>
    <w:link w:val="Header"/>
    <w:uiPriority w:val="99"/>
    <w:semiHidden/>
    <w:qFormat/>
    <w:rsid w:val="00af7a1d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erChar" w:customStyle="1">
    <w:name w:val="Footer Char"/>
    <w:link w:val="Footer"/>
    <w:uiPriority w:val="99"/>
    <w:qFormat/>
    <w:rsid w:val="00af7a1d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BalloonTextChar" w:customStyle="1">
    <w:name w:val="Balloon Text Char"/>
    <w:link w:val="BalloonText"/>
    <w:uiPriority w:val="99"/>
    <w:semiHidden/>
    <w:qFormat/>
    <w:rsid w:val="000c1eb7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Annotationreference">
    <w:name w:val="annotation reference"/>
    <w:uiPriority w:val="99"/>
    <w:semiHidden/>
    <w:unhideWhenUsed/>
    <w:qFormat/>
    <w:rsid w:val="000c1eb7"/>
    <w:rPr>
      <w:sz w:val="18"/>
      <w:szCs w:val="18"/>
    </w:rPr>
  </w:style>
  <w:style w:type="character" w:styleId="CommentTextChar" w:customStyle="1">
    <w:name w:val="Comment Text Char"/>
    <w:link w:val="CommentText"/>
    <w:uiPriority w:val="99"/>
    <w:semiHidden/>
    <w:qFormat/>
    <w:rsid w:val="000c1eb7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link w:val="CommentSubject"/>
    <w:uiPriority w:val="99"/>
    <w:semiHidden/>
    <w:qFormat/>
    <w:rsid w:val="000c1eb7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ts1">
    <w:name w:val="Contents 1"/>
    <w:basedOn w:val="Normal"/>
    <w:next w:val="Normal"/>
    <w:autoRedefine/>
    <w:uiPriority w:val="39"/>
    <w:rsid w:val="00ba6be3"/>
    <w:pPr>
      <w:tabs>
        <w:tab w:val="left" w:pos="360" w:leader="none"/>
        <w:tab w:val="right" w:pos="8990" w:leader="dot"/>
      </w:tabs>
      <w:spacing w:before="240" w:after="80"/>
      <w:outlineLvl w:val="0"/>
    </w:pPr>
    <w:rPr>
      <w:b/>
      <w:bCs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  <w:lang w:eastAsia="x-none"/>
    </w:rPr>
  </w:style>
  <w:style w:type="paragraph" w:styleId="SectionVIHeader" w:customStyle="1">
    <w:name w:val="Section VI. Header"/>
    <w:basedOn w:val="Normal"/>
    <w:qFormat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 w:leader="none"/>
        <w:tab w:val="right" w:pos="9406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 w:leader="none"/>
        <w:tab w:val="right" w:pos="9406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1eb7"/>
    <w:pPr/>
    <w:rPr>
      <w:rFonts w:ascii="Lucida Grande CY" w:hAnsi="Lucida Grande CY"/>
      <w:sz w:val="18"/>
      <w:szCs w:val="18"/>
      <w:lang w:eastAsia="x-none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0c1eb7"/>
    <w:pPr/>
    <w:rPr>
      <w:lang w:eastAsia="x-none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0c1eb7"/>
    <w:pPr/>
    <w:rPr>
      <w:b/>
      <w:bCs/>
      <w:sz w:val="20"/>
      <w:szCs w:val="20"/>
    </w:rPr>
  </w:style>
  <w:style w:type="paragraph" w:styleId="Revision">
    <w:name w:val="Revision"/>
    <w:uiPriority w:val="99"/>
    <w:semiHidden/>
    <w:qFormat/>
    <w:rsid w:val="000f5d95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paragraph" w:styleId="ListParagraph">
    <w:name w:val="List Paragraph"/>
    <w:basedOn w:val="Normal"/>
    <w:uiPriority w:val="34"/>
    <w:qFormat/>
    <w:rsid w:val="0004534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9DC2-6A01-4B48-8600-F1AB584EB9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8F893-E955-4B5E-AEE8-EB08B39C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LibreOffice/5.0.4.2$Windows_X86_64 LibreOffice_project/2b9802c1994aa0b7dc6079e128979269cf95bc78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2016-09-23T05:32:00Z</dcterms:created>
  <dc:creator>Jelena Petrović</dc:creator>
  <dc:language>en-US</dc:language>
  <cp:lastPrinted>2016-11-03T14:56:15Z</cp:lastPrinted>
  <dcterms:modified xsi:type="dcterms:W3CDTF">2016-11-03T14:56:47Z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