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contextualSpacing/>
        <w:jc w:val="right"/>
        <w:rPr>
          <w:rFonts w:ascii="Times New Roman" w:hAnsi="Times New Roman" w:cs="Times New Roman"/>
          <w:bCs/>
          <w:sz w:val="24"/>
          <w:szCs w:val="24"/>
          <w:lang w:val="sr-CS"/>
        </w:rPr>
      </w:pPr>
      <w:r>
        <w:rPr>
          <w:rFonts w:cs="Times New Roman" w:ascii="Times New Roman" w:hAnsi="Times New Roman"/>
          <w:bCs/>
          <w:sz w:val="24"/>
          <w:szCs w:val="24"/>
          <w:lang w:val="sr-CS"/>
        </w:rPr>
        <w:t>ПРИЛОГ 3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lang w:val="sr-CS"/>
        </w:rPr>
      </w:pPr>
      <w:r>
        <w:rPr>
          <w:rFonts w:cs="Times New Roman" w:ascii="Times New Roman" w:hAnsi="Times New Roman"/>
          <w:lang w:val="sr-CS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/>
          <w:bCs/>
          <w:color w:val="009999"/>
          <w:sz w:val="28"/>
          <w:szCs w:val="28"/>
        </w:rPr>
      </w:pPr>
      <w:r>
        <w:rPr>
          <w:rFonts w:cs="Times New Roman" w:ascii="Times New Roman" w:hAnsi="Times New Roman"/>
          <w:b/>
          <w:color w:val="009999"/>
          <w:sz w:val="28"/>
          <w:szCs w:val="28"/>
          <w:lang w:val="sr-CS"/>
        </w:rPr>
        <w:t>Kритеријуми за избор пројеката уградње соларних панела и пратеће инсталације за производњу електричне енергије за сопствене потребе</w:t>
      </w:r>
    </w:p>
    <w:p>
      <w:pPr>
        <w:pStyle w:val="Normal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3396" w:leader="none"/>
        </w:tabs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tbl>
      <w:tblPr>
        <w:tblStyle w:val="TableGrid0"/>
        <w:tblW w:w="9245" w:type="dxa"/>
        <w:jc w:val="center"/>
        <w:tblInd w:w="0" w:type="dxa"/>
        <w:tblCellMar>
          <w:top w:w="0" w:type="dxa"/>
          <w:left w:w="101" w:type="dxa"/>
          <w:bottom w:w="0" w:type="dxa"/>
          <w:right w:w="115" w:type="dxa"/>
        </w:tblCellMar>
        <w:tblLook w:firstRow="1" w:noVBand="1" w:lastRow="0" w:firstColumn="1" w:lastColumn="0" w:noHBand="0" w:val="04a0"/>
      </w:tblPr>
      <w:tblGrid>
        <w:gridCol w:w="6255"/>
        <w:gridCol w:w="29"/>
        <w:gridCol w:w="44"/>
        <w:gridCol w:w="1426"/>
        <w:gridCol w:w="1491"/>
      </w:tblGrid>
      <w:tr>
        <w:trPr>
          <w:trHeight w:val="667" w:hRule="atLeast"/>
        </w:trPr>
        <w:tc>
          <w:tcPr>
            <w:tcW w:w="924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val="sr-CS" w:eastAsia="sr-CS"/>
              </w:rPr>
              <w:t xml:space="preserve">Набавка и уградња соларних панела, инвертора и пратеће инсталације за производњу електричне енергије за сопствене потребе </w:t>
            </w: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val="sr-RS" w:eastAsia="sr-CS"/>
              </w:rPr>
              <w:t xml:space="preserve">и </w:t>
            </w: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4"/>
                <w:lang w:val="sr-RS" w:eastAsia="sr-CS"/>
              </w:rPr>
              <w:t>и</w:t>
            </w: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4"/>
                <w:lang w:val="sr-CS" w:eastAsia="sr-CS"/>
              </w:rPr>
              <w:t>зрада неопходне техничке документације и извештаја извођача радова на уградњи соларних панела и пратеће инсталације за производњу електричне енергије који је у складу са законом неопходан приликом прикључења на дистрибутивни систем</w:t>
            </w: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val="sr-CS" w:eastAsia="sr-CS"/>
              </w:rPr>
              <w:t xml:space="preserve"> (породичне куће)</w:t>
            </w:r>
          </w:p>
        </w:tc>
      </w:tr>
      <w:tr>
        <w:trPr>
          <w:trHeight w:val="389" w:hRule="atLeast"/>
        </w:trPr>
        <w:tc>
          <w:tcPr>
            <w:tcW w:w="632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59" w:before="0" w:after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b/>
                <w:bCs/>
                <w:sz w:val="24"/>
                <w:szCs w:val="24"/>
                <w:lang w:val="sr-CS" w:eastAsia="sr-CS"/>
              </w:rPr>
              <w:t xml:space="preserve">Постојеће стање спољних зидова </w:t>
            </w:r>
          </w:p>
        </w:tc>
        <w:tc>
          <w:tcPr>
            <w:tcW w:w="14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Број бодова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ind w:left="3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максимално</w:t>
            </w:r>
          </w:p>
        </w:tc>
      </w:tr>
      <w:tr>
        <w:trPr>
          <w:trHeight w:val="338" w:hRule="atLeast"/>
        </w:trPr>
        <w:tc>
          <w:tcPr>
            <w:tcW w:w="775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ind w:left="7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 xml:space="preserve">Спољни зидови и кров без термичке изолације 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ind w:left="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5</w:t>
            </w:r>
          </w:p>
        </w:tc>
      </w:tr>
      <w:tr>
        <w:trPr>
          <w:trHeight w:val="346" w:hRule="atLeast"/>
        </w:trPr>
        <w:tc>
          <w:tcPr>
            <w:tcW w:w="775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59" w:before="0" w:after="0"/>
              <w:ind w:left="7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 xml:space="preserve">Спољни зидови без а кров са термичком изолацијом 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10</w:t>
            </w:r>
          </w:p>
        </w:tc>
      </w:tr>
      <w:tr>
        <w:trPr>
          <w:trHeight w:val="346" w:hRule="atLeast"/>
        </w:trPr>
        <w:tc>
          <w:tcPr>
            <w:tcW w:w="775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ind w:left="7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Спољни зидови са а кров без термичком изолацијом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15</w:t>
            </w:r>
          </w:p>
        </w:tc>
      </w:tr>
      <w:tr>
        <w:trPr>
          <w:trHeight w:val="346" w:hRule="atLeast"/>
        </w:trPr>
        <w:tc>
          <w:tcPr>
            <w:tcW w:w="775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ind w:left="7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Спољни зидови и кров са термичком изолацијом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25</w:t>
            </w:r>
          </w:p>
        </w:tc>
      </w:tr>
      <w:tr>
        <w:trPr>
          <w:trHeight w:val="281" w:hRule="atLeast"/>
        </w:trPr>
        <w:tc>
          <w:tcPr>
            <w:tcW w:w="924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rPr>
                <w:rFonts w:ascii="Times New Roman" w:hAnsi="Times New Roman" w:eastAsia="" w:cs="Times New Roman" w:eastAsiaTheme="minorEastAsia"/>
                <w:sz w:val="24"/>
                <w:szCs w:val="24"/>
                <w:lang w:val="sr-CS" w:eastAsia="sr-CS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</w:r>
          </w:p>
        </w:tc>
      </w:tr>
      <w:tr>
        <w:trPr>
          <w:trHeight w:val="410" w:hRule="atLeast"/>
        </w:trPr>
        <w:tc>
          <w:tcPr>
            <w:tcW w:w="62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59" w:before="0" w:after="0"/>
              <w:ind w:left="14" w:hanging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b/>
                <w:bCs/>
                <w:sz w:val="24"/>
                <w:szCs w:val="24"/>
                <w:lang w:val="sr-CS" w:eastAsia="sr-CS"/>
              </w:rPr>
              <w:t xml:space="preserve">Постојећи начин грејања на: </w:t>
            </w:r>
          </w:p>
        </w:tc>
        <w:tc>
          <w:tcPr>
            <w:tcW w:w="147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" w:cs="Times New Roman" w:eastAsiaTheme="minorEastAsia"/>
                <w:b/>
                <w:b/>
                <w:bCs/>
                <w:sz w:val="24"/>
                <w:szCs w:val="24"/>
                <w:lang w:val="sr-CS" w:eastAsia="sr-CS"/>
              </w:rPr>
            </w:pPr>
            <w:r>
              <w:rPr>
                <w:rFonts w:eastAsia="" w:cs="Times New Roman" w:eastAsiaTheme="minorEastAsia" w:ascii="Times New Roman" w:hAnsi="Times New Roman"/>
                <w:b/>
                <w:bCs/>
                <w:sz w:val="24"/>
                <w:szCs w:val="24"/>
                <w:lang w:val="sr-CS" w:eastAsia="sr-CS"/>
              </w:rPr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ind w:left="17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Број бодова</w:t>
            </w:r>
          </w:p>
        </w:tc>
      </w:tr>
      <w:tr>
        <w:trPr>
          <w:trHeight w:val="346" w:hRule="atLeast"/>
        </w:trPr>
        <w:tc>
          <w:tcPr>
            <w:tcW w:w="62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59" w:before="0" w:after="0"/>
              <w:ind w:left="22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 xml:space="preserve">Угаљ/ лож уље,/мазут </w:t>
            </w:r>
          </w:p>
        </w:tc>
        <w:tc>
          <w:tcPr>
            <w:tcW w:w="147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" w:cs="Times New Roman" w:eastAsiaTheme="minorEastAsia"/>
                <w:sz w:val="24"/>
                <w:szCs w:val="24"/>
                <w:lang w:val="sr-CS" w:eastAsia="sr-CS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ind w:left="20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5</w:t>
            </w:r>
          </w:p>
        </w:tc>
      </w:tr>
      <w:tr>
        <w:trPr>
          <w:trHeight w:val="343" w:hRule="atLeast"/>
        </w:trPr>
        <w:tc>
          <w:tcPr>
            <w:tcW w:w="62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59" w:before="0" w:after="0"/>
              <w:ind w:left="22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Електрична енергија</w:t>
            </w:r>
          </w:p>
        </w:tc>
        <w:tc>
          <w:tcPr>
            <w:tcW w:w="147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" w:cs="Times New Roman" w:eastAsiaTheme="minorEastAsia"/>
                <w:sz w:val="24"/>
                <w:szCs w:val="24"/>
                <w:lang w:val="sr-CS" w:eastAsia="sr-CS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ind w:left="27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10</w:t>
            </w:r>
          </w:p>
        </w:tc>
      </w:tr>
      <w:tr>
        <w:trPr>
          <w:trHeight w:val="346" w:hRule="atLeast"/>
        </w:trPr>
        <w:tc>
          <w:tcPr>
            <w:tcW w:w="62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59" w:before="0" w:after="0"/>
              <w:ind w:left="14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Дрво</w:t>
            </w:r>
          </w:p>
        </w:tc>
        <w:tc>
          <w:tcPr>
            <w:tcW w:w="147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" w:cs="Times New Roman" w:eastAsiaTheme="minorEastAsia"/>
                <w:sz w:val="24"/>
                <w:szCs w:val="24"/>
                <w:lang w:val="sr-CS" w:eastAsia="sr-CS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ind w:left="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15</w:t>
            </w:r>
          </w:p>
        </w:tc>
      </w:tr>
      <w:tr>
        <w:trPr>
          <w:trHeight w:val="353" w:hRule="atLeast"/>
        </w:trPr>
        <w:tc>
          <w:tcPr>
            <w:tcW w:w="62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59" w:before="0" w:after="0"/>
              <w:ind w:left="14" w:hanging="0"/>
              <w:rPr>
                <w:rFonts w:ascii="Times New Roman" w:hAnsi="Times New Roman" w:cs="Times New Roman"/>
                <w:sz w:val="24"/>
                <w:szCs w:val="24"/>
                <w:lang w:val="sr-CS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Природни гас/пелет</w:t>
            </w: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/градска топлана</w:t>
            </w:r>
            <w:bookmarkStart w:id="0" w:name="_GoBack"/>
            <w:bookmarkEnd w:id="0"/>
          </w:p>
        </w:tc>
        <w:tc>
          <w:tcPr>
            <w:tcW w:w="147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" w:cs="Times New Roman" w:eastAsiaTheme="minorEastAsia"/>
                <w:sz w:val="24"/>
                <w:szCs w:val="24"/>
                <w:lang w:val="sr-CS" w:eastAsia="sr-CS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ind w:left="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25</w:t>
            </w:r>
          </w:p>
        </w:tc>
      </w:tr>
      <w:tr>
        <w:trPr>
          <w:trHeight w:val="389" w:hRule="atLeast"/>
        </w:trPr>
        <w:tc>
          <w:tcPr>
            <w:tcW w:w="62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59" w:before="0" w:after="0"/>
              <w:rPr>
                <w:rFonts w:ascii="Times New Roman" w:hAnsi="Times New Roman" w:eastAsia="" w:cs="Times New Roman" w:eastAsiaTheme="minorEastAsia"/>
                <w:b/>
                <w:b/>
                <w:bCs/>
                <w:sz w:val="24"/>
                <w:szCs w:val="24"/>
                <w:lang w:val="sr-CS" w:eastAsia="sr-CS"/>
              </w:rPr>
            </w:pPr>
            <w:r>
              <w:rPr>
                <w:rFonts w:eastAsia="" w:cs="Times New Roman" w:eastAsiaTheme="minorEastAsia" w:ascii="Times New Roman" w:hAnsi="Times New Roman"/>
                <w:b/>
                <w:bCs/>
                <w:sz w:val="24"/>
                <w:szCs w:val="24"/>
                <w:lang w:val="sr-CS" w:eastAsia="sr-CS"/>
              </w:rPr>
            </w:r>
          </w:p>
        </w:tc>
        <w:tc>
          <w:tcPr>
            <w:tcW w:w="147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" w:cs="Times New Roman" w:eastAsiaTheme="minorEastAsia"/>
                <w:b/>
                <w:b/>
                <w:bCs/>
                <w:sz w:val="24"/>
                <w:szCs w:val="24"/>
                <w:lang w:val="sr-CS" w:eastAsia="sr-CS"/>
              </w:rPr>
            </w:pPr>
            <w:r>
              <w:rPr>
                <w:rFonts w:eastAsia="" w:cs="Times New Roman" w:eastAsiaTheme="minorEastAsia" w:ascii="Times New Roman" w:hAnsi="Times New Roman"/>
                <w:b/>
                <w:bCs/>
                <w:sz w:val="24"/>
                <w:szCs w:val="24"/>
                <w:lang w:val="sr-CS" w:eastAsia="sr-CS"/>
              </w:rPr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ind w:left="3" w:hanging="0"/>
              <w:rPr>
                <w:rFonts w:ascii="Times New Roman" w:hAnsi="Times New Roman" w:eastAsia="" w:cs="Times New Roman" w:eastAsiaTheme="minorEastAsia"/>
                <w:sz w:val="24"/>
                <w:szCs w:val="24"/>
                <w:lang w:val="sr-CS" w:eastAsia="sr-CS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</w:r>
          </w:p>
        </w:tc>
      </w:tr>
      <w:tr>
        <w:trPr>
          <w:trHeight w:val="338" w:hRule="atLeast"/>
        </w:trPr>
        <w:tc>
          <w:tcPr>
            <w:tcW w:w="6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59" w:before="0" w:after="0"/>
              <w:ind w:left="7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sr-RS" w:eastAsia="sr-CS"/>
              </w:rPr>
              <w:t>Постојеће карактеристике спољне столарије</w:t>
            </w:r>
          </w:p>
        </w:tc>
        <w:tc>
          <w:tcPr>
            <w:tcW w:w="1499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" w:cs="Times New Roman" w:eastAsiaTheme="minorEastAsia"/>
                <w:sz w:val="24"/>
                <w:szCs w:val="24"/>
                <w:lang w:val="sr-CS" w:eastAsia="sr-CS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ind w:left="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Број бодова</w:t>
            </w:r>
          </w:p>
        </w:tc>
      </w:tr>
      <w:tr>
        <w:trPr>
          <w:trHeight w:val="338" w:hRule="atLeast"/>
        </w:trPr>
        <w:tc>
          <w:tcPr>
            <w:tcW w:w="6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7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sr-CS" w:eastAsia="sr-CS"/>
              </w:rPr>
              <w:t>Дрвени, једноструки са једним стаклом</w:t>
            </w:r>
          </w:p>
        </w:tc>
        <w:tc>
          <w:tcPr>
            <w:tcW w:w="1499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" w:cs="Times New Roman" w:eastAsiaTheme="minorEastAsia"/>
                <w:sz w:val="24"/>
                <w:szCs w:val="24"/>
                <w:lang w:val="sr-CS" w:eastAsia="sr-CS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5</w:t>
            </w:r>
          </w:p>
        </w:tc>
      </w:tr>
      <w:tr>
        <w:trPr>
          <w:trHeight w:val="346" w:hRule="atLeast"/>
        </w:trPr>
        <w:tc>
          <w:tcPr>
            <w:tcW w:w="6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ind w:left="7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sr-CS" w:eastAsia="sr-CS"/>
              </w:rPr>
              <w:t>Дрвени,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sr-RS" w:eastAsia="sr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sr-CS" w:eastAsia="sr-CS"/>
              </w:rPr>
              <w:t xml:space="preserve">двоструки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sr-RS" w:eastAsia="sr-CS"/>
              </w:rPr>
              <w:t>са размакнутим крилима</w:t>
            </w:r>
          </w:p>
        </w:tc>
        <w:tc>
          <w:tcPr>
            <w:tcW w:w="1499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" w:cs="Times New Roman" w:eastAsiaTheme="minorEastAsia"/>
                <w:sz w:val="24"/>
                <w:szCs w:val="24"/>
                <w:lang w:val="sr-CS" w:eastAsia="sr-CS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10</w:t>
            </w:r>
          </w:p>
        </w:tc>
      </w:tr>
      <w:tr>
        <w:trPr>
          <w:trHeight w:val="346" w:hRule="atLeast"/>
        </w:trPr>
        <w:tc>
          <w:tcPr>
            <w:tcW w:w="6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7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sr-CS" w:eastAsia="sr-CS"/>
              </w:rPr>
              <w:t>Дрвени, једноструки са дуплим стаклом или вакум стаклом</w:t>
            </w:r>
          </w:p>
        </w:tc>
        <w:tc>
          <w:tcPr>
            <w:tcW w:w="1499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" w:cs="Times New Roman" w:eastAsiaTheme="minorEastAsia"/>
                <w:sz w:val="24"/>
                <w:szCs w:val="24"/>
                <w:lang w:val="sr-CS" w:eastAsia="sr-CS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15</w:t>
            </w:r>
          </w:p>
        </w:tc>
      </w:tr>
      <w:tr>
        <w:trPr>
          <w:trHeight w:val="346" w:hRule="atLeast"/>
        </w:trPr>
        <w:tc>
          <w:tcPr>
            <w:tcW w:w="6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7" w:hanging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sr-CS" w:eastAsia="sr-CS"/>
              </w:rPr>
              <w:t xml:space="preserve">ПВЦ, алуминијум </w:t>
            </w:r>
          </w:p>
        </w:tc>
        <w:tc>
          <w:tcPr>
            <w:tcW w:w="1499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sr-CS" w:eastAsia="sr-C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sr-CS" w:eastAsia="sr-CS"/>
              </w:rPr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25</w:t>
            </w:r>
          </w:p>
        </w:tc>
      </w:tr>
      <w:tr>
        <w:trPr>
          <w:trHeight w:val="353" w:hRule="atLeast"/>
        </w:trPr>
        <w:tc>
          <w:tcPr>
            <w:tcW w:w="924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ind w:left="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sr-CS" w:eastAsia="sr-CS"/>
              </w:rPr>
              <w:t>К фактор заузетости површине за породичне куће</w:t>
            </w:r>
          </w:p>
        </w:tc>
      </w:tr>
      <w:tr>
        <w:trPr>
          <w:trHeight w:val="346" w:hRule="atLeast"/>
        </w:trPr>
        <w:tc>
          <w:tcPr>
            <w:tcW w:w="775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ind w:left="22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 xml:space="preserve">К&lt;15 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ind w:left="20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20</w:t>
            </w:r>
          </w:p>
        </w:tc>
      </w:tr>
      <w:tr>
        <w:trPr>
          <w:trHeight w:val="346" w:hRule="atLeast"/>
        </w:trPr>
        <w:tc>
          <w:tcPr>
            <w:tcW w:w="775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22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15≤К&lt;17,5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20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19,5</w:t>
            </w:r>
          </w:p>
        </w:tc>
      </w:tr>
      <w:tr>
        <w:trPr>
          <w:trHeight w:val="343" w:hRule="atLeast"/>
        </w:trPr>
        <w:tc>
          <w:tcPr>
            <w:tcW w:w="775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ind w:left="22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 xml:space="preserve">17,5≤К&lt;20 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ind w:left="27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19</w:t>
            </w:r>
          </w:p>
        </w:tc>
      </w:tr>
      <w:tr>
        <w:trPr>
          <w:trHeight w:val="346" w:hRule="atLeast"/>
        </w:trPr>
        <w:tc>
          <w:tcPr>
            <w:tcW w:w="775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ind w:left="14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 xml:space="preserve">20≤К&lt;22,5 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ind w:left="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18,5</w:t>
            </w:r>
          </w:p>
        </w:tc>
      </w:tr>
      <w:tr>
        <w:trPr>
          <w:trHeight w:val="353" w:hRule="atLeast"/>
        </w:trPr>
        <w:tc>
          <w:tcPr>
            <w:tcW w:w="775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4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22,5≤К&lt;25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18</w:t>
            </w:r>
          </w:p>
        </w:tc>
      </w:tr>
      <w:tr>
        <w:trPr>
          <w:trHeight w:val="353" w:hRule="atLeast"/>
        </w:trPr>
        <w:tc>
          <w:tcPr>
            <w:tcW w:w="775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ind w:left="14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 xml:space="preserve">25≤К≤27,5 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ind w:left="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17,5</w:t>
            </w:r>
          </w:p>
        </w:tc>
      </w:tr>
      <w:tr>
        <w:trPr>
          <w:trHeight w:val="353" w:hRule="atLeast"/>
        </w:trPr>
        <w:tc>
          <w:tcPr>
            <w:tcW w:w="775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4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27,5≤К≤30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17</w:t>
            </w:r>
          </w:p>
        </w:tc>
      </w:tr>
      <w:tr>
        <w:trPr>
          <w:trHeight w:val="353" w:hRule="atLeast"/>
        </w:trPr>
        <w:tc>
          <w:tcPr>
            <w:tcW w:w="775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ind w:left="14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К&gt;30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16</w:t>
            </w:r>
          </w:p>
        </w:tc>
      </w:tr>
      <w:tr>
        <w:trPr>
          <w:trHeight w:val="667" w:hRule="atLeast"/>
        </w:trPr>
        <w:tc>
          <w:tcPr>
            <w:tcW w:w="924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sr-CS" w:eastAsia="sr-CS"/>
              </w:rPr>
              <w:t>Коришћење субвенција за енергетску санацију (средства општине/републике)</w:t>
            </w:r>
          </w:p>
        </w:tc>
      </w:tr>
      <w:tr>
        <w:trPr>
          <w:trHeight w:val="410" w:hRule="atLeast"/>
        </w:trPr>
        <w:tc>
          <w:tcPr>
            <w:tcW w:w="775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59" w:before="0" w:after="0"/>
              <w:ind w:left="14" w:hanging="0"/>
              <w:rPr>
                <w:rFonts w:ascii="Times New Roman" w:hAnsi="Times New Roman" w:eastAsia="" w:cs="Times New Roman" w:eastAsiaTheme="minorEastAsia"/>
                <w:sz w:val="24"/>
                <w:szCs w:val="24"/>
                <w:lang w:val="sr-CS" w:eastAsia="sr-CS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ind w:left="17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Број бодова</w:t>
            </w:r>
          </w:p>
        </w:tc>
      </w:tr>
      <w:tr>
        <w:trPr>
          <w:trHeight w:val="346" w:hRule="atLeast"/>
        </w:trPr>
        <w:tc>
          <w:tcPr>
            <w:tcW w:w="775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ind w:left="22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 xml:space="preserve">Средства нису коришћена у последње три године  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ind w:left="20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5</w:t>
            </w:r>
          </w:p>
        </w:tc>
      </w:tr>
      <w:tr>
        <w:trPr>
          <w:trHeight w:val="346" w:hRule="atLeast"/>
        </w:trPr>
        <w:tc>
          <w:tcPr>
            <w:tcW w:w="775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22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 xml:space="preserve">Средства су коришћена у последње три године  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20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0</w:t>
            </w:r>
          </w:p>
        </w:tc>
      </w:tr>
    </w:tbl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/>
          <w:color w:val="009999"/>
          <w:sz w:val="28"/>
          <w:szCs w:val="28"/>
          <w:lang w:val="sr-CS"/>
        </w:rPr>
      </w:pPr>
      <w:r>
        <w:rPr>
          <w:rFonts w:cs="Times New Roman" w:ascii="Times New Roman" w:hAnsi="Times New Roman"/>
          <w:b/>
          <w:color w:val="009999"/>
          <w:sz w:val="28"/>
          <w:szCs w:val="28"/>
          <w:lang w:val="sr-CS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/>
          <w:color w:val="009999"/>
          <w:sz w:val="28"/>
          <w:szCs w:val="28"/>
          <w:lang w:val="sr-CS"/>
        </w:rPr>
      </w:pPr>
      <w:r>
        <w:rPr>
          <w:rFonts w:cs="Times New Roman" w:ascii="Times New Roman" w:hAnsi="Times New Roman"/>
          <w:b/>
          <w:color w:val="009999"/>
          <w:sz w:val="28"/>
          <w:szCs w:val="28"/>
          <w:lang w:val="sr-CS"/>
        </w:rPr>
        <w:t>Kритеријуми за избор пројеката уградње електронски регулисаних циркулационих пумпи, опремања система грејања са уређајима за регулацију и мерење предате</w:t>
        <w:br/>
        <w:t>количине топлоте објекту (калориметри, делитељи топлоте, баланс вентили)</w:t>
      </w:r>
    </w:p>
    <w:p>
      <w:pPr>
        <w:pStyle w:val="Normal"/>
        <w:shd w:val="clear" w:color="auto" w:fill="FFFFFF"/>
        <w:spacing w:lineRule="auto" w:line="276" w:before="0" w:after="0"/>
        <w:jc w:val="both"/>
        <w:rPr>
          <w:rFonts w:ascii="Times New Roman" w:hAnsi="Times New Roman" w:eastAsia="Times New Roman" w:cs="Times New Roman"/>
          <w:color w:val="424242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</w:r>
    </w:p>
    <w:tbl>
      <w:tblPr>
        <w:tblStyle w:val="TableGrid0"/>
        <w:tblW w:w="9245" w:type="dxa"/>
        <w:jc w:val="center"/>
        <w:tblInd w:w="0" w:type="dxa"/>
        <w:tblCellMar>
          <w:top w:w="0" w:type="dxa"/>
          <w:left w:w="101" w:type="dxa"/>
          <w:bottom w:w="0" w:type="dxa"/>
          <w:right w:w="115" w:type="dxa"/>
        </w:tblCellMar>
        <w:tblLook w:firstRow="1" w:noVBand="1" w:lastRow="0" w:firstColumn="1" w:lastColumn="0" w:noHBand="0" w:val="04a0"/>
      </w:tblPr>
      <w:tblGrid>
        <w:gridCol w:w="7754"/>
        <w:gridCol w:w="1490"/>
      </w:tblGrid>
      <w:tr>
        <w:trPr>
          <w:trHeight w:val="667" w:hRule="atLeast"/>
        </w:trPr>
        <w:tc>
          <w:tcPr>
            <w:tcW w:w="92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360" w:leader="none"/>
              </w:tabs>
              <w:spacing w:lineRule="auto" w:line="240" w:before="0" w:after="0"/>
              <w:jc w:val="center"/>
              <w:rPr>
                <w:rStyle w:val="Markedcontent"/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Style w:val="Markedcontent"/>
                <w:rFonts w:eastAsia="" w:cs="Times New Roman" w:ascii="Times New Roman" w:hAnsi="Times New Roman" w:eastAsiaTheme="minorEastAsia"/>
                <w:b/>
                <w:sz w:val="24"/>
                <w:szCs w:val="24"/>
                <w:lang w:val="sr-CS" w:eastAsia="sr-CS"/>
              </w:rPr>
              <w:t>Унапређење термотехничких система зграде путем замене система или дела система ефикаснијим системом путем:</w:t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val="clear" w:pos="720"/>
                <w:tab w:val="left" w:pos="360" w:leader="none"/>
              </w:tabs>
              <w:spacing w:lineRule="auto" w:line="240" w:before="0" w:after="0"/>
              <w:contextualSpacing/>
              <w:rPr>
                <w:rStyle w:val="Markedcontent"/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Style w:val="Markedcontent"/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уградње електронски регулисаних циркулационих пумпи</w:t>
            </w:r>
            <w:r>
              <w:rPr>
                <w:rStyle w:val="Markedcontent"/>
                <w:rFonts w:eastAsia="" w:cs="Times New Roman" w:ascii="Times New Roman" w:hAnsi="Times New Roman" w:eastAsiaTheme="minorEastAsia"/>
                <w:b/>
                <w:sz w:val="24"/>
                <w:szCs w:val="24"/>
                <w:lang w:val="sr-CS" w:eastAsia="sr-CS"/>
              </w:rPr>
              <w:t>;</w:t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val="clear" w:pos="720"/>
                <w:tab w:val="left" w:pos="360" w:leader="none"/>
              </w:tabs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Style w:val="Markedcontent"/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опремања система грејања са уређајима за регулацију и мерење предате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br/>
            </w:r>
            <w:r>
              <w:rPr>
                <w:rStyle w:val="Markedcontent"/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количине топлоте објекту (калориметри, делитељи топлоте, баланс вентили)</w:t>
            </w:r>
          </w:p>
        </w:tc>
      </w:tr>
      <w:tr>
        <w:trPr>
          <w:trHeight w:val="281" w:hRule="atLeast"/>
        </w:trPr>
        <w:tc>
          <w:tcPr>
            <w:tcW w:w="92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rPr>
                <w:rFonts w:ascii="Times New Roman" w:hAnsi="Times New Roman" w:eastAsia="" w:cs="Times New Roman" w:eastAsiaTheme="minorEastAsia"/>
                <w:sz w:val="24"/>
                <w:szCs w:val="24"/>
                <w:lang w:val="sr-CS" w:eastAsia="sr-CS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</w:r>
          </w:p>
        </w:tc>
      </w:tr>
      <w:tr>
        <w:trPr>
          <w:trHeight w:val="410" w:hRule="atLeast"/>
        </w:trPr>
        <w:tc>
          <w:tcPr>
            <w:tcW w:w="7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59" w:before="0" w:after="0"/>
              <w:ind w:left="14" w:hanging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b/>
                <w:bCs/>
                <w:sz w:val="24"/>
                <w:szCs w:val="24"/>
                <w:lang w:val="sr-CS" w:eastAsia="sr-CS"/>
              </w:rPr>
              <w:t>Постојећи начин грејања на*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ind w:left="17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Број бодова</w:t>
            </w:r>
          </w:p>
        </w:tc>
      </w:tr>
      <w:tr>
        <w:trPr>
          <w:trHeight w:val="346" w:hRule="atLeast"/>
        </w:trPr>
        <w:tc>
          <w:tcPr>
            <w:tcW w:w="7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59" w:before="0" w:after="0"/>
              <w:ind w:left="22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 xml:space="preserve">Угаљ/ лож уље,/мазут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ind w:left="20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50</w:t>
            </w:r>
          </w:p>
        </w:tc>
      </w:tr>
      <w:tr>
        <w:trPr>
          <w:trHeight w:val="343" w:hRule="atLeast"/>
        </w:trPr>
        <w:tc>
          <w:tcPr>
            <w:tcW w:w="7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59" w:before="0" w:after="0"/>
              <w:ind w:left="22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Електрична енергија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ind w:left="27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40</w:t>
            </w:r>
          </w:p>
        </w:tc>
      </w:tr>
      <w:tr>
        <w:trPr>
          <w:trHeight w:val="346" w:hRule="atLeast"/>
        </w:trPr>
        <w:tc>
          <w:tcPr>
            <w:tcW w:w="7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59" w:before="0" w:after="0"/>
              <w:ind w:left="14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Дрво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ind w:left="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20</w:t>
            </w:r>
          </w:p>
        </w:tc>
      </w:tr>
      <w:tr>
        <w:trPr>
          <w:trHeight w:val="353" w:hRule="atLeast"/>
        </w:trPr>
        <w:tc>
          <w:tcPr>
            <w:tcW w:w="7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59" w:before="0" w:after="0"/>
              <w:ind w:left="14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Природни гас/пелет/даљинско грејање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ind w:left="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5</w:t>
            </w:r>
          </w:p>
        </w:tc>
      </w:tr>
      <w:tr>
        <w:trPr>
          <w:trHeight w:val="353" w:hRule="atLeast"/>
        </w:trPr>
        <w:tc>
          <w:tcPr>
            <w:tcW w:w="92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ind w:left="13" w:hanging="0"/>
              <w:jc w:val="center"/>
              <w:rPr>
                <w:rFonts w:ascii="Times New Roman" w:hAnsi="Times New Roman" w:eastAsia="" w:cs="Times New Roman" w:eastAsiaTheme="minorEastAsia"/>
                <w:sz w:val="24"/>
                <w:szCs w:val="24"/>
                <w:lang w:val="sr-CS" w:eastAsia="sr-CS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</w:r>
          </w:p>
        </w:tc>
      </w:tr>
      <w:tr>
        <w:trPr>
          <w:trHeight w:val="389" w:hRule="atLeast"/>
        </w:trPr>
        <w:tc>
          <w:tcPr>
            <w:tcW w:w="7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59" w:before="0" w:after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sr-CS" w:eastAsia="sr-CS"/>
              </w:rPr>
              <w:t>Постојеће карактеристике спољне столарије*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ind w:left="3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Број бодова</w:t>
            </w:r>
          </w:p>
        </w:tc>
      </w:tr>
      <w:tr>
        <w:trPr>
          <w:trHeight w:val="338" w:hRule="atLeast"/>
        </w:trPr>
        <w:tc>
          <w:tcPr>
            <w:tcW w:w="7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ind w:left="7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sr-CS" w:eastAsia="sr-CS"/>
              </w:rPr>
              <w:t>Дрвени, једноструки са једним стаклом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ind w:left="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5</w:t>
            </w:r>
          </w:p>
        </w:tc>
      </w:tr>
      <w:tr>
        <w:trPr>
          <w:trHeight w:val="338" w:hRule="atLeast"/>
        </w:trPr>
        <w:tc>
          <w:tcPr>
            <w:tcW w:w="7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7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sr-CS" w:eastAsia="sr-CS"/>
              </w:rPr>
              <w:t>Дрвени, двоструки са размакнутим крилима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10</w:t>
            </w:r>
          </w:p>
        </w:tc>
      </w:tr>
      <w:tr>
        <w:trPr>
          <w:trHeight w:val="346" w:hRule="atLeast"/>
        </w:trPr>
        <w:tc>
          <w:tcPr>
            <w:tcW w:w="7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ind w:left="7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sr-CS" w:eastAsia="sr-CS"/>
              </w:rPr>
              <w:t>Дрвени, једноструки са дуплим стаклом или вакум стаклом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15</w:t>
            </w:r>
          </w:p>
        </w:tc>
      </w:tr>
      <w:tr>
        <w:trPr>
          <w:trHeight w:val="346" w:hRule="atLeast"/>
        </w:trPr>
        <w:tc>
          <w:tcPr>
            <w:tcW w:w="7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7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sr-CS" w:eastAsia="sr-CS"/>
              </w:rPr>
              <w:t xml:space="preserve">ПВЦ, алуминијум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20</w:t>
            </w:r>
          </w:p>
        </w:tc>
      </w:tr>
      <w:tr>
        <w:trPr>
          <w:trHeight w:val="346" w:hRule="atLeast"/>
        </w:trPr>
        <w:tc>
          <w:tcPr>
            <w:tcW w:w="92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sz w:val="24"/>
                <w:szCs w:val="24"/>
                <w:lang w:val="sr-CS" w:eastAsia="sr-CS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</w:r>
          </w:p>
        </w:tc>
      </w:tr>
      <w:tr>
        <w:trPr>
          <w:trHeight w:val="389" w:hRule="atLeast"/>
        </w:trPr>
        <w:tc>
          <w:tcPr>
            <w:tcW w:w="7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59" w:before="0" w:after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b/>
                <w:bCs/>
                <w:sz w:val="24"/>
                <w:szCs w:val="24"/>
                <w:lang w:val="sr-CS" w:eastAsia="sr-CS"/>
              </w:rPr>
              <w:t>Постојеће стање у погледу термичке изолације објекта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ind w:left="3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Број бодова</w:t>
            </w:r>
          </w:p>
        </w:tc>
      </w:tr>
      <w:tr>
        <w:trPr>
          <w:trHeight w:val="338" w:hRule="atLeast"/>
        </w:trPr>
        <w:tc>
          <w:tcPr>
            <w:tcW w:w="7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ind w:left="7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 xml:space="preserve">Спољни зидови и кров без термичке изолације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ind w:left="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5</w:t>
            </w:r>
          </w:p>
        </w:tc>
      </w:tr>
      <w:tr>
        <w:trPr>
          <w:trHeight w:val="346" w:hRule="atLeast"/>
        </w:trPr>
        <w:tc>
          <w:tcPr>
            <w:tcW w:w="7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59" w:before="0" w:after="0"/>
              <w:ind w:left="7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 xml:space="preserve">Спољни зидови без а кров са термичком изолацијом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10</w:t>
            </w:r>
          </w:p>
        </w:tc>
      </w:tr>
      <w:tr>
        <w:trPr>
          <w:trHeight w:val="346" w:hRule="atLeast"/>
        </w:trPr>
        <w:tc>
          <w:tcPr>
            <w:tcW w:w="7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ind w:left="7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Спољни зидови са а кров без термичком изолацијом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15</w:t>
            </w:r>
          </w:p>
        </w:tc>
      </w:tr>
      <w:tr>
        <w:trPr>
          <w:trHeight w:val="346" w:hRule="atLeast"/>
        </w:trPr>
        <w:tc>
          <w:tcPr>
            <w:tcW w:w="7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ind w:left="7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Спољни зидови и кров са термичком изолацијом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20</w:t>
            </w:r>
          </w:p>
        </w:tc>
      </w:tr>
      <w:tr>
        <w:trPr>
          <w:trHeight w:val="281" w:hRule="atLeast"/>
        </w:trPr>
        <w:tc>
          <w:tcPr>
            <w:tcW w:w="92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rPr>
                <w:rFonts w:ascii="Times New Roman" w:hAnsi="Times New Roman" w:eastAsia="" w:cs="Times New Roman" w:eastAsiaTheme="minorEastAsia"/>
                <w:sz w:val="24"/>
                <w:szCs w:val="24"/>
                <w:lang w:val="sr-CS" w:eastAsia="sr-CS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</w:r>
          </w:p>
        </w:tc>
      </w:tr>
      <w:tr>
        <w:trPr>
          <w:trHeight w:val="667" w:hRule="atLeast"/>
        </w:trPr>
        <w:tc>
          <w:tcPr>
            <w:tcW w:w="92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sr-C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sr-CS" w:eastAsia="sr-CS"/>
              </w:rPr>
              <w:t>К фактор заузетости површине за станове/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sr-CS" w:eastAsia="sr-CS"/>
              </w:rPr>
              <w:t>стамбене заједнице</w:t>
            </w:r>
          </w:p>
          <w:p>
            <w:pPr>
              <w:pStyle w:val="Normal"/>
              <w:spacing w:lineRule="auto" w:line="259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sr-CS" w:eastAsia="sr-CS"/>
              </w:rPr>
              <w:t>К фактор заузетости површине, који представља количник укупне површине стамбеног објекта (из пореске пријаве) и броја корисника тог објекта.</w:t>
            </w:r>
          </w:p>
        </w:tc>
      </w:tr>
      <w:tr>
        <w:trPr>
          <w:trHeight w:val="410" w:hRule="atLeast"/>
        </w:trPr>
        <w:tc>
          <w:tcPr>
            <w:tcW w:w="7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59" w:before="0" w:after="0"/>
              <w:ind w:left="14" w:hanging="0"/>
              <w:rPr>
                <w:rFonts w:ascii="Times New Roman" w:hAnsi="Times New Roman" w:eastAsia="" w:cs="Times New Roman" w:eastAsiaTheme="minorEastAsia"/>
                <w:sz w:val="24"/>
                <w:szCs w:val="24"/>
                <w:lang w:val="sr-CS" w:eastAsia="sr-CS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ind w:left="17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Број бодова</w:t>
            </w:r>
          </w:p>
        </w:tc>
      </w:tr>
      <w:tr>
        <w:trPr>
          <w:trHeight w:val="346" w:hRule="atLeast"/>
        </w:trPr>
        <w:tc>
          <w:tcPr>
            <w:tcW w:w="7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ind w:left="22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 xml:space="preserve">К&lt;10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ind w:left="20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5</w:t>
            </w:r>
          </w:p>
        </w:tc>
      </w:tr>
      <w:tr>
        <w:trPr>
          <w:trHeight w:val="346" w:hRule="atLeast"/>
        </w:trPr>
        <w:tc>
          <w:tcPr>
            <w:tcW w:w="7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22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10≤К&lt;12,5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20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4,5</w:t>
            </w:r>
          </w:p>
        </w:tc>
      </w:tr>
      <w:tr>
        <w:trPr>
          <w:trHeight w:val="343" w:hRule="atLeast"/>
        </w:trPr>
        <w:tc>
          <w:tcPr>
            <w:tcW w:w="7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ind w:left="22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 xml:space="preserve">12,5≤К&lt;15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ind w:left="27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4</w:t>
            </w:r>
          </w:p>
        </w:tc>
      </w:tr>
      <w:tr>
        <w:trPr>
          <w:trHeight w:val="346" w:hRule="atLeast"/>
        </w:trPr>
        <w:tc>
          <w:tcPr>
            <w:tcW w:w="7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ind w:left="14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 xml:space="preserve">15≤К&lt;17,5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ind w:left="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3,5</w:t>
            </w:r>
          </w:p>
        </w:tc>
      </w:tr>
      <w:tr>
        <w:trPr>
          <w:trHeight w:val="353" w:hRule="atLeast"/>
        </w:trPr>
        <w:tc>
          <w:tcPr>
            <w:tcW w:w="7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4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17,5≤К&lt;20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3</w:t>
            </w:r>
          </w:p>
        </w:tc>
      </w:tr>
      <w:tr>
        <w:trPr>
          <w:trHeight w:val="353" w:hRule="atLeast"/>
        </w:trPr>
        <w:tc>
          <w:tcPr>
            <w:tcW w:w="7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ind w:left="14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 xml:space="preserve">20≤К≤22,5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ind w:left="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2,5</w:t>
            </w:r>
          </w:p>
        </w:tc>
      </w:tr>
      <w:tr>
        <w:trPr>
          <w:trHeight w:val="353" w:hRule="atLeast"/>
        </w:trPr>
        <w:tc>
          <w:tcPr>
            <w:tcW w:w="7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4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22,5≤К≤25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2</w:t>
            </w:r>
          </w:p>
        </w:tc>
      </w:tr>
      <w:tr>
        <w:trPr>
          <w:trHeight w:val="353" w:hRule="atLeast"/>
        </w:trPr>
        <w:tc>
          <w:tcPr>
            <w:tcW w:w="7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ind w:left="14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К&gt;25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1</w:t>
            </w:r>
          </w:p>
        </w:tc>
      </w:tr>
      <w:tr>
        <w:trPr>
          <w:trHeight w:val="353" w:hRule="atLeast"/>
        </w:trPr>
        <w:tc>
          <w:tcPr>
            <w:tcW w:w="92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ind w:left="13" w:hanging="0"/>
              <w:jc w:val="center"/>
              <w:rPr>
                <w:rFonts w:ascii="Times New Roman" w:hAnsi="Times New Roman" w:eastAsia="" w:cs="Times New Roman" w:eastAsiaTheme="minorEastAsia"/>
                <w:sz w:val="24"/>
                <w:szCs w:val="24"/>
                <w:lang w:val="sr-CS" w:eastAsia="sr-CS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</w:r>
          </w:p>
        </w:tc>
      </w:tr>
      <w:tr>
        <w:trPr>
          <w:trHeight w:val="667" w:hRule="atLeast"/>
        </w:trPr>
        <w:tc>
          <w:tcPr>
            <w:tcW w:w="92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sr-CS" w:eastAsia="sr-CS"/>
              </w:rPr>
              <w:t>Коришћење субвенција за енергетску санацију (средства општине/републике)</w:t>
            </w:r>
          </w:p>
        </w:tc>
      </w:tr>
      <w:tr>
        <w:trPr>
          <w:trHeight w:val="410" w:hRule="atLeast"/>
        </w:trPr>
        <w:tc>
          <w:tcPr>
            <w:tcW w:w="7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59" w:before="0" w:after="0"/>
              <w:ind w:left="14" w:hanging="0"/>
              <w:rPr>
                <w:rFonts w:ascii="Times New Roman" w:hAnsi="Times New Roman" w:eastAsia="" w:cs="Times New Roman" w:eastAsiaTheme="minorEastAsia"/>
                <w:sz w:val="24"/>
                <w:szCs w:val="24"/>
                <w:lang w:val="sr-CS" w:eastAsia="sr-CS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ind w:left="17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Број бодова</w:t>
            </w:r>
          </w:p>
        </w:tc>
      </w:tr>
      <w:tr>
        <w:trPr>
          <w:trHeight w:val="346" w:hRule="atLeast"/>
        </w:trPr>
        <w:tc>
          <w:tcPr>
            <w:tcW w:w="7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ind w:left="22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 xml:space="preserve">Средства нису коришћена у последње три године 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ind w:left="20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5</w:t>
            </w:r>
          </w:p>
        </w:tc>
      </w:tr>
      <w:tr>
        <w:trPr>
          <w:trHeight w:val="346" w:hRule="atLeast"/>
        </w:trPr>
        <w:tc>
          <w:tcPr>
            <w:tcW w:w="7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22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 xml:space="preserve">Средства су коришћена у последње три године 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20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  <w:t>0</w:t>
            </w:r>
          </w:p>
        </w:tc>
      </w:tr>
    </w:tbl>
    <w:p>
      <w:pPr>
        <w:pStyle w:val="Normal"/>
        <w:spacing w:before="0" w:after="0"/>
        <w:jc w:val="both"/>
        <w:rPr/>
      </w:pPr>
      <w:r>
        <w:rPr/>
      </w:r>
    </w:p>
    <w:sectPr>
      <w:headerReference w:type="default" r:id="rId2"/>
      <w:type w:val="nextPage"/>
      <w:pgSz w:w="12240" w:h="15840"/>
      <w:pgMar w:left="720" w:right="720" w:header="720" w:top="777" w:footer="0" w:bottom="72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jc w:val="right"/>
      <w:rPr>
        <w:rFonts w:ascii="Times New Roman" w:hAnsi="Times New Roman" w:cs="Times New Roman"/>
        <w:lang w:val="sr-CS"/>
      </w:rPr>
    </w:pPr>
    <w:r>
      <w:rPr>
        <w:rFonts w:cs="Times New Roman" w:ascii="Times New Roman" w:hAnsi="Times New Roman"/>
        <w:lang w:val="sr-CS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7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  <w:b/>
        <w:rFonts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13cf6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GB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d745b6"/>
    <w:rPr>
      <w:b/>
      <w:bCs/>
    </w:rPr>
  </w:style>
  <w:style w:type="character" w:styleId="FootnoteCharacters">
    <w:name w:val="Footnote Characters"/>
    <w:basedOn w:val="DefaultParagraphFont"/>
    <w:semiHidden/>
    <w:unhideWhenUsed/>
    <w:qFormat/>
    <w:rsid w:val="00d745b6"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70599"/>
    <w:rPr>
      <w:sz w:val="16"/>
      <w:szCs w:val="16"/>
    </w:rPr>
  </w:style>
  <w:style w:type="character" w:styleId="CommentTextChar" w:customStyle="1">
    <w:name w:val="Comment Text Char"/>
    <w:basedOn w:val="DefaultParagraphFont"/>
    <w:link w:val="CommentText"/>
    <w:uiPriority w:val="99"/>
    <w:qFormat/>
    <w:rsid w:val="00670599"/>
    <w:rPr>
      <w:rFonts w:ascii="Times New Roman" w:hAnsi="Times New Roman" w:eastAsia="Times New Roman" w:cs="Times New Roman"/>
      <w:sz w:val="20"/>
      <w:szCs w:val="20"/>
    </w:rPr>
  </w:style>
  <w:style w:type="character" w:styleId="InternetLink">
    <w:name w:val="Internet Link"/>
    <w:basedOn w:val="DefaultParagraphFont"/>
    <w:uiPriority w:val="99"/>
    <w:unhideWhenUsed/>
    <w:rsid w:val="000a570b"/>
    <w:rPr>
      <w:color w:val="0000FF"/>
      <w:u w:val="single"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8e0438"/>
    <w:rPr>
      <w:color w:val="605E5C"/>
      <w:shd w:fill="E1DFDD" w:val="clear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qFormat/>
    <w:rsid w:val="00d13cf6"/>
    <w:rPr>
      <w:rFonts w:ascii="Times New Roman" w:hAnsi="Times New Roman" w:eastAsia="Times New Roman" w:cs="Times New Roman"/>
      <w:b/>
      <w:bCs/>
      <w:sz w:val="20"/>
      <w:szCs w:val="20"/>
      <w:lang w:val="en-GB"/>
    </w:rPr>
  </w:style>
  <w:style w:type="character" w:styleId="FootnoteTextChar" w:customStyle="1">
    <w:name w:val="Footnote Text Char"/>
    <w:basedOn w:val="DefaultParagraphFont"/>
    <w:link w:val="FootnoteText"/>
    <w:qFormat/>
    <w:rsid w:val="00cb7e8c"/>
    <w:rPr>
      <w:sz w:val="20"/>
      <w:szCs w:val="20"/>
      <w:lang w:val="en-GB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fe2666"/>
    <w:rPr>
      <w:rFonts w:ascii="Segoe UI" w:hAnsi="Segoe UI" w:cs="Segoe UI"/>
      <w:sz w:val="18"/>
      <w:szCs w:val="18"/>
      <w:lang w:val="en-GB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66540e"/>
    <w:rPr>
      <w:lang w:val="en-GB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66540e"/>
    <w:rPr>
      <w:lang w:val="en-GB"/>
    </w:rPr>
  </w:style>
  <w:style w:type="character" w:styleId="Rvts3" w:customStyle="1">
    <w:name w:val="rvts3"/>
    <w:uiPriority w:val="99"/>
    <w:qFormat/>
    <w:rsid w:val="003e1897"/>
    <w:rPr>
      <w:color w:val="000000"/>
      <w:sz w:val="20"/>
    </w:rPr>
  </w:style>
  <w:style w:type="character" w:styleId="Markedcontent" w:customStyle="1">
    <w:name w:val="markedcontent"/>
    <w:basedOn w:val="DefaultParagraphFont"/>
    <w:qFormat/>
    <w:rsid w:val="006005b5"/>
    <w:rPr/>
  </w:style>
  <w:style w:type="character" w:styleId="ListParagraphChar" w:customStyle="1">
    <w:name w:val="List Paragraph Char"/>
    <w:basedOn w:val="DefaultParagraphFont"/>
    <w:link w:val="ListParagraph"/>
    <w:uiPriority w:val="34"/>
    <w:qFormat/>
    <w:locked/>
    <w:rsid w:val="006005b5"/>
    <w:rPr>
      <w:lang w:val="en-GB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link w:val="ListParagraphChar"/>
    <w:uiPriority w:val="34"/>
    <w:qFormat/>
    <w:rsid w:val="00cc78df"/>
    <w:pPr>
      <w:spacing w:before="0" w:after="160"/>
      <w:ind w:left="720" w:hanging="0"/>
      <w:contextualSpacing/>
    </w:pPr>
    <w:rPr/>
  </w:style>
  <w:style w:type="paragraph" w:styleId="Caption1">
    <w:name w:val="caption"/>
    <w:basedOn w:val="Normal"/>
    <w:next w:val="Normal"/>
    <w:uiPriority w:val="35"/>
    <w:unhideWhenUsed/>
    <w:qFormat/>
    <w:rsid w:val="00cc78df"/>
    <w:pPr>
      <w:spacing w:lineRule="auto" w:line="240" w:before="0" w:after="200"/>
    </w:pPr>
    <w:rPr>
      <w:i/>
      <w:iCs/>
      <w:color w:val="44546A" w:themeColor="text2"/>
      <w:sz w:val="18"/>
      <w:szCs w:val="18"/>
    </w:rPr>
  </w:style>
  <w:style w:type="paragraph" w:styleId="Annotationtext">
    <w:name w:val="annotation text"/>
    <w:basedOn w:val="Normal"/>
    <w:link w:val="CommentTextChar"/>
    <w:uiPriority w:val="99"/>
    <w:unhideWhenUsed/>
    <w:qFormat/>
    <w:rsid w:val="00670599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val="en-US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semiHidden/>
    <w:unhideWhenUsed/>
    <w:qFormat/>
    <w:rsid w:val="00d13cf6"/>
    <w:pPr>
      <w:spacing w:before="0" w:after="160"/>
    </w:pPr>
    <w:rPr>
      <w:rFonts w:ascii="Calibri" w:hAnsi="Calibri" w:eastAsia="Calibri" w:cs="" w:asciiTheme="minorHAnsi" w:cstheme="minorBidi" w:eastAsiaTheme="minorHAnsi" w:hAnsiTheme="minorHAnsi"/>
      <w:b/>
      <w:bCs/>
      <w:lang w:val="en-GB"/>
    </w:rPr>
  </w:style>
  <w:style w:type="paragraph" w:styleId="Footnote">
    <w:name w:val="Footnote Text"/>
    <w:basedOn w:val="Normal"/>
    <w:link w:val="FootnoteTextChar"/>
    <w:unhideWhenUsed/>
    <w:rsid w:val="00cb7e8c"/>
    <w:pPr>
      <w:spacing w:lineRule="auto" w:line="240" w:before="0" w:after="0"/>
    </w:pPr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fe2666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66540e"/>
    <w:pPr>
      <w:tabs>
        <w:tab w:val="clear" w:pos="720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66540e"/>
    <w:pPr>
      <w:tabs>
        <w:tab w:val="clear" w:pos="720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cc78d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Grid0">
    <w:name w:val="TableGrid"/>
    <w:rsid w:val="00a86c8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d7c40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95C17-C0CB-45D2-8B34-001BC2DA6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LibreOffice/6.3.6.2$Windows_X86_64 LibreOffice_project/2196df99b074d8a661f4036fca8fa0cbfa33a497</Application>
  <Pages>9</Pages>
  <Words>433</Words>
  <Characters>2636</Characters>
  <CharactersWithSpaces>2981</CharactersWithSpaces>
  <Paragraphs>117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2022-09-28T11:44:00Z</dcterms:created>
  <dc:creator>HP EliteBook 840 G3</dc:creator>
  <dc:description/>
  <dc:language>en-US</dc:language>
  <cp:lastModifiedBy>Aleksandar Puljevic</cp:lastModifiedBy>
  <cp:lastPrinted>2021-08-06T05:54:00Z</cp:lastPrinted>
  <dcterms:modified xsi:type="dcterms:W3CDTF">2022-09-28T12:43:00Z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